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C9" w:rsidRDefault="004A69C9" w:rsidP="004A69C9">
      <w:pPr>
        <w:autoSpaceDE w:val="0"/>
        <w:autoSpaceDN w:val="0"/>
        <w:adjustRightInd w:val="0"/>
        <w:jc w:val="center"/>
        <w:rPr>
          <w:rFonts w:eastAsia="Calibri"/>
          <w:b/>
          <w:sz w:val="20"/>
          <w:szCs w:val="20"/>
          <w:lang w:val="es-MX"/>
        </w:rPr>
      </w:pPr>
      <w:r>
        <w:rPr>
          <w:rFonts w:eastAsia="Calibri"/>
          <w:b/>
          <w:bCs/>
          <w:sz w:val="20"/>
          <w:szCs w:val="20"/>
          <w:lang w:val="es-MX" w:eastAsia="es-MX"/>
        </w:rPr>
        <w:t>ATENCIÓN A GRUPOS VULNERABLES A TRAVÉS DE AYUDAS ECONÓMICAS A PERSONAS CON DISCAPACIDAD 2013</w:t>
      </w:r>
    </w:p>
    <w:p w:rsidR="00656918" w:rsidRDefault="004A69C9">
      <w:pPr>
        <w:rPr>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4"/>
        <w:gridCol w:w="6"/>
        <w:gridCol w:w="1273"/>
        <w:gridCol w:w="850"/>
        <w:gridCol w:w="709"/>
        <w:gridCol w:w="433"/>
        <w:gridCol w:w="25"/>
        <w:gridCol w:w="75"/>
        <w:gridCol w:w="34"/>
        <w:gridCol w:w="716"/>
        <w:gridCol w:w="984"/>
        <w:gridCol w:w="2418"/>
      </w:tblGrid>
      <w:tr w:rsidR="004A69C9" w:rsidRPr="00E41FED" w:rsidTr="009F1F73">
        <w:tc>
          <w:tcPr>
            <w:tcW w:w="2230" w:type="dxa"/>
            <w:gridSpan w:val="2"/>
          </w:tcPr>
          <w:p w:rsidR="004A69C9" w:rsidRPr="00E41FED" w:rsidRDefault="004A69C9" w:rsidP="009F1F73">
            <w:pPr>
              <w:rPr>
                <w:sz w:val="20"/>
                <w:szCs w:val="20"/>
              </w:rPr>
            </w:pPr>
            <w:r w:rsidRPr="00E41FED">
              <w:rPr>
                <w:sz w:val="20"/>
                <w:szCs w:val="20"/>
              </w:rPr>
              <w:t xml:space="preserve">I.- Introducción </w:t>
            </w:r>
          </w:p>
        </w:tc>
        <w:tc>
          <w:tcPr>
            <w:tcW w:w="7517" w:type="dxa"/>
            <w:gridSpan w:val="10"/>
          </w:tcPr>
          <w:p w:rsidR="004A69C9" w:rsidRDefault="004A69C9" w:rsidP="009F1F73">
            <w:pPr>
              <w:autoSpaceDE w:val="0"/>
              <w:autoSpaceDN w:val="0"/>
              <w:adjustRightInd w:val="0"/>
              <w:jc w:val="both"/>
              <w:rPr>
                <w:color w:val="000000"/>
                <w:sz w:val="20"/>
                <w:szCs w:val="20"/>
              </w:rPr>
            </w:pPr>
            <w:r>
              <w:rPr>
                <w:color w:val="000000"/>
                <w:sz w:val="20"/>
                <w:szCs w:val="20"/>
              </w:rPr>
              <w:t xml:space="preserve">La importancia de llevar a cabo la evaluación interna, radica en verificar el cumplimiento de los objetivos y fines establecidos este Programa Social, que se ha ejecutado durante el ejercicio 2013, y mejorar la capacidad de la autoridad delegacional para generar políticas públicas y soluciones colectivas que garanticen a las personas con discapacidad mejorar su nivel de vida. </w:t>
            </w:r>
          </w:p>
          <w:p w:rsidR="004A69C9" w:rsidRDefault="004A69C9" w:rsidP="009F1F73">
            <w:pPr>
              <w:autoSpaceDE w:val="0"/>
              <w:autoSpaceDN w:val="0"/>
              <w:adjustRightInd w:val="0"/>
              <w:jc w:val="both"/>
              <w:rPr>
                <w:color w:val="000000"/>
                <w:sz w:val="20"/>
                <w:szCs w:val="20"/>
              </w:rPr>
            </w:pPr>
            <w:r>
              <w:rPr>
                <w:color w:val="000000"/>
                <w:sz w:val="20"/>
                <w:szCs w:val="20"/>
              </w:rPr>
              <w:t>Con ello estaremos contribuyendo a impulsar la educación integral, disfrute de la cultura, salud, capacitación, deporte, rehabilitación e integración social, que son condiciones mínimas necesarias para que este sector de la población viva y conviva con dignidad, equidad, calidez y respeto.</w:t>
            </w:r>
          </w:p>
          <w:p w:rsidR="004A69C9" w:rsidRPr="00E00567" w:rsidRDefault="004A69C9" w:rsidP="009F1F73">
            <w:pPr>
              <w:jc w:val="both"/>
              <w:rPr>
                <w:sz w:val="20"/>
                <w:szCs w:val="20"/>
              </w:rPr>
            </w:pPr>
            <w:r>
              <w:rPr>
                <w:sz w:val="20"/>
                <w:szCs w:val="20"/>
              </w:rPr>
              <w:t>En el año 2001, se creó el primer Programa de Apoyo Económico para Personas con Discapacidad, con criterio de prioridad, para atender las necesidades de este sector social.  Asimismo, se creó la estructura para la atención de esta población bajo la coordinación del DIF–DF, encargando la instrumentación a la Dirección Ejecutiva de Apoyo a Personas con Discapacidad del mismo organismo, con 72 beneficiarios, personas con discapacidad y su modificación ha sido primordialmente en términos presupuestales.</w:t>
            </w:r>
          </w:p>
        </w:tc>
      </w:tr>
      <w:tr w:rsidR="004A69C9" w:rsidRPr="00E41FED" w:rsidTr="009F1F73">
        <w:tc>
          <w:tcPr>
            <w:tcW w:w="9747" w:type="dxa"/>
            <w:gridSpan w:val="12"/>
          </w:tcPr>
          <w:p w:rsidR="004A69C9" w:rsidRPr="00E41FED" w:rsidRDefault="004A69C9" w:rsidP="009F1F73">
            <w:pPr>
              <w:rPr>
                <w:b/>
                <w:sz w:val="20"/>
                <w:szCs w:val="20"/>
              </w:rPr>
            </w:pPr>
            <w:r>
              <w:rPr>
                <w:b/>
                <w:sz w:val="20"/>
                <w:szCs w:val="20"/>
              </w:rPr>
              <w:t xml:space="preserve">II.- Metodología de la Evaluación </w:t>
            </w:r>
          </w:p>
        </w:tc>
      </w:tr>
      <w:tr w:rsidR="004A69C9" w:rsidRPr="00E41FED" w:rsidTr="009F1F73">
        <w:tc>
          <w:tcPr>
            <w:tcW w:w="2230" w:type="dxa"/>
            <w:gridSpan w:val="2"/>
          </w:tcPr>
          <w:p w:rsidR="004A69C9" w:rsidRPr="00E41FED" w:rsidRDefault="004A69C9" w:rsidP="009F1F73">
            <w:pPr>
              <w:rPr>
                <w:sz w:val="20"/>
                <w:szCs w:val="20"/>
              </w:rPr>
            </w:pPr>
            <w:r w:rsidRPr="00E41FED">
              <w:rPr>
                <w:sz w:val="20"/>
                <w:szCs w:val="20"/>
              </w:rPr>
              <w:t xml:space="preserve">II.I Descripción del Objetivo de Evaluación </w:t>
            </w:r>
          </w:p>
        </w:tc>
        <w:tc>
          <w:tcPr>
            <w:tcW w:w="7517" w:type="dxa"/>
            <w:gridSpan w:val="10"/>
          </w:tcPr>
          <w:p w:rsidR="004A69C9" w:rsidRPr="00B53C07" w:rsidRDefault="004A69C9" w:rsidP="009F1F73">
            <w:pPr>
              <w:autoSpaceDE w:val="0"/>
              <w:autoSpaceDN w:val="0"/>
              <w:adjustRightInd w:val="0"/>
              <w:jc w:val="both"/>
              <w:rPr>
                <w:b/>
                <w:sz w:val="20"/>
                <w:szCs w:val="20"/>
                <w:u w:val="single"/>
              </w:rPr>
            </w:pPr>
            <w:r w:rsidRPr="00B53C07">
              <w:rPr>
                <w:b/>
                <w:sz w:val="20"/>
                <w:szCs w:val="20"/>
                <w:u w:val="single"/>
              </w:rPr>
              <w:t>Objetivo General.</w:t>
            </w:r>
          </w:p>
          <w:p w:rsidR="004A69C9" w:rsidRDefault="004A69C9" w:rsidP="009F1F73">
            <w:pPr>
              <w:autoSpaceDE w:val="0"/>
              <w:autoSpaceDN w:val="0"/>
              <w:adjustRightInd w:val="0"/>
              <w:jc w:val="both"/>
              <w:rPr>
                <w:sz w:val="20"/>
                <w:szCs w:val="20"/>
              </w:rPr>
            </w:pPr>
            <w:r>
              <w:rPr>
                <w:sz w:val="20"/>
                <w:szCs w:val="20"/>
              </w:rPr>
              <w:t>Promover condiciones de equidad entre las personas con discapacidad, asegurando su plena inclusión a la sociedad en un marco de respeto e igualdad de oportunidades, asegurando el ejercicio pleno de sus derechos humanos y libertades fundamentales, durante el ejercicio 2013 de la administración delegacional.</w:t>
            </w:r>
          </w:p>
          <w:p w:rsidR="004A69C9" w:rsidRPr="00B53C07" w:rsidRDefault="004A69C9" w:rsidP="009F1F73">
            <w:pPr>
              <w:autoSpaceDE w:val="0"/>
              <w:autoSpaceDN w:val="0"/>
              <w:adjustRightInd w:val="0"/>
              <w:jc w:val="both"/>
              <w:rPr>
                <w:b/>
                <w:sz w:val="20"/>
                <w:szCs w:val="20"/>
                <w:u w:val="single"/>
              </w:rPr>
            </w:pPr>
            <w:r w:rsidRPr="00B53C07">
              <w:rPr>
                <w:b/>
                <w:sz w:val="20"/>
                <w:szCs w:val="20"/>
                <w:u w:val="single"/>
              </w:rPr>
              <w:t>Objetivo Específico.</w:t>
            </w:r>
          </w:p>
          <w:p w:rsidR="004A69C9" w:rsidRDefault="004A69C9" w:rsidP="009F1F73">
            <w:pPr>
              <w:autoSpaceDE w:val="0"/>
              <w:autoSpaceDN w:val="0"/>
              <w:adjustRightInd w:val="0"/>
              <w:jc w:val="both"/>
              <w:rPr>
                <w:sz w:val="20"/>
                <w:szCs w:val="20"/>
              </w:rPr>
            </w:pPr>
            <w:r>
              <w:rPr>
                <w:sz w:val="20"/>
                <w:szCs w:val="20"/>
              </w:rPr>
              <w:t>El programa de Ayudas Económicas a Personas con Discapacidad en condición de Vulnerabilidad tiene como objetivo favorecer la mejora de las circunstancias de carácter económico de las personas con discapacidad en condición de vulnerabilidad que residen en la Delegación Milpa Alta, hasta lograr su incorporación a una vida plena y productiva, a través de otorgar setenta y dos ayudas económicas, considerando la equidad de género, la no discriminación, y la justicia social en la aplicación del programa.</w:t>
            </w:r>
          </w:p>
          <w:p w:rsidR="004A69C9" w:rsidRPr="00B53C07" w:rsidRDefault="004A69C9" w:rsidP="009F1F73">
            <w:pPr>
              <w:autoSpaceDE w:val="0"/>
              <w:autoSpaceDN w:val="0"/>
              <w:adjustRightInd w:val="0"/>
              <w:jc w:val="both"/>
              <w:rPr>
                <w:b/>
                <w:sz w:val="20"/>
                <w:szCs w:val="20"/>
                <w:u w:val="single"/>
              </w:rPr>
            </w:pPr>
            <w:r w:rsidRPr="00B53C07">
              <w:rPr>
                <w:b/>
                <w:sz w:val="20"/>
                <w:szCs w:val="20"/>
                <w:u w:val="single"/>
              </w:rPr>
              <w:t>Meta Física.</w:t>
            </w:r>
          </w:p>
          <w:p w:rsidR="004A69C9" w:rsidRPr="0022386B" w:rsidRDefault="004A69C9" w:rsidP="009F1F73">
            <w:pPr>
              <w:suppressAutoHyphens w:val="0"/>
              <w:autoSpaceDE w:val="0"/>
              <w:autoSpaceDN w:val="0"/>
              <w:adjustRightInd w:val="0"/>
              <w:jc w:val="both"/>
              <w:rPr>
                <w:b/>
                <w:sz w:val="20"/>
                <w:szCs w:val="20"/>
              </w:rPr>
            </w:pPr>
            <w:r>
              <w:rPr>
                <w:sz w:val="20"/>
                <w:szCs w:val="20"/>
              </w:rPr>
              <w:t>La meta anual de este programa durante el ejercicio 2013 consiste en otorgar setenta y dos (72) ayudas económicas, dividida en dos entregas para cada persona beneficiaria.</w:t>
            </w:r>
          </w:p>
        </w:tc>
      </w:tr>
      <w:tr w:rsidR="004A69C9" w:rsidRPr="00E41FED" w:rsidTr="009F1F73">
        <w:tc>
          <w:tcPr>
            <w:tcW w:w="2230" w:type="dxa"/>
            <w:gridSpan w:val="2"/>
            <w:vMerge w:val="restart"/>
          </w:tcPr>
          <w:p w:rsidR="004A69C9" w:rsidRPr="00E41FED" w:rsidRDefault="004A69C9" w:rsidP="009F1F73">
            <w:pPr>
              <w:rPr>
                <w:sz w:val="20"/>
                <w:szCs w:val="20"/>
              </w:rPr>
            </w:pPr>
            <w:r w:rsidRPr="00E41FED">
              <w:rPr>
                <w:sz w:val="20"/>
                <w:szCs w:val="20"/>
              </w:rPr>
              <w:t xml:space="preserve">II.2.Área encargada de la Evaluación </w:t>
            </w:r>
          </w:p>
        </w:tc>
        <w:tc>
          <w:tcPr>
            <w:tcW w:w="1273" w:type="dxa"/>
            <w:shd w:val="clear" w:color="auto" w:fill="D9D9D9"/>
          </w:tcPr>
          <w:p w:rsidR="004A69C9" w:rsidRPr="00021672" w:rsidRDefault="004A69C9" w:rsidP="009F1F73">
            <w:pPr>
              <w:jc w:val="both"/>
              <w:rPr>
                <w:b/>
                <w:sz w:val="20"/>
                <w:szCs w:val="20"/>
              </w:rPr>
            </w:pPr>
            <w:r w:rsidRPr="00021672">
              <w:rPr>
                <w:b/>
                <w:sz w:val="20"/>
                <w:szCs w:val="20"/>
              </w:rPr>
              <w:t>Puesto</w:t>
            </w:r>
          </w:p>
        </w:tc>
        <w:tc>
          <w:tcPr>
            <w:tcW w:w="850" w:type="dxa"/>
            <w:shd w:val="clear" w:color="auto" w:fill="D9D9D9"/>
          </w:tcPr>
          <w:p w:rsidR="004A69C9" w:rsidRPr="00021672" w:rsidRDefault="004A69C9" w:rsidP="009F1F73">
            <w:pPr>
              <w:jc w:val="both"/>
              <w:rPr>
                <w:b/>
                <w:sz w:val="20"/>
                <w:szCs w:val="20"/>
              </w:rPr>
            </w:pPr>
            <w:r w:rsidRPr="00021672">
              <w:rPr>
                <w:b/>
                <w:sz w:val="20"/>
                <w:szCs w:val="20"/>
              </w:rPr>
              <w:t xml:space="preserve">Género </w:t>
            </w:r>
          </w:p>
        </w:tc>
        <w:tc>
          <w:tcPr>
            <w:tcW w:w="709" w:type="dxa"/>
            <w:shd w:val="clear" w:color="auto" w:fill="D9D9D9"/>
          </w:tcPr>
          <w:p w:rsidR="004A69C9" w:rsidRPr="00021672" w:rsidRDefault="004A69C9" w:rsidP="009F1F73">
            <w:pPr>
              <w:jc w:val="both"/>
              <w:rPr>
                <w:b/>
                <w:sz w:val="20"/>
                <w:szCs w:val="20"/>
              </w:rPr>
            </w:pPr>
            <w:r w:rsidRPr="00021672">
              <w:rPr>
                <w:b/>
                <w:sz w:val="20"/>
                <w:szCs w:val="20"/>
              </w:rPr>
              <w:t>Edad</w:t>
            </w:r>
          </w:p>
        </w:tc>
        <w:tc>
          <w:tcPr>
            <w:tcW w:w="1283" w:type="dxa"/>
            <w:gridSpan w:val="5"/>
            <w:shd w:val="clear" w:color="auto" w:fill="D9D9D9"/>
          </w:tcPr>
          <w:p w:rsidR="004A69C9" w:rsidRPr="00021672" w:rsidRDefault="004A69C9" w:rsidP="009F1F73">
            <w:pPr>
              <w:jc w:val="both"/>
              <w:rPr>
                <w:b/>
                <w:sz w:val="20"/>
                <w:szCs w:val="20"/>
              </w:rPr>
            </w:pPr>
            <w:r w:rsidRPr="00021672">
              <w:rPr>
                <w:b/>
                <w:sz w:val="20"/>
                <w:szCs w:val="20"/>
              </w:rPr>
              <w:t xml:space="preserve">Formación </w:t>
            </w:r>
            <w:r w:rsidRPr="00021672">
              <w:rPr>
                <w:sz w:val="20"/>
                <w:szCs w:val="20"/>
              </w:rPr>
              <w:t>(</w:t>
            </w:r>
          </w:p>
        </w:tc>
        <w:tc>
          <w:tcPr>
            <w:tcW w:w="984" w:type="dxa"/>
            <w:shd w:val="clear" w:color="auto" w:fill="D9D9D9"/>
          </w:tcPr>
          <w:p w:rsidR="004A69C9" w:rsidRPr="00021672" w:rsidRDefault="004A69C9" w:rsidP="009F1F73">
            <w:pPr>
              <w:jc w:val="both"/>
              <w:rPr>
                <w:b/>
                <w:sz w:val="20"/>
                <w:szCs w:val="20"/>
              </w:rPr>
            </w:pPr>
            <w:r w:rsidRPr="00021672">
              <w:rPr>
                <w:b/>
                <w:sz w:val="20"/>
                <w:szCs w:val="20"/>
              </w:rPr>
              <w:t>Institución Académica</w:t>
            </w:r>
          </w:p>
        </w:tc>
        <w:tc>
          <w:tcPr>
            <w:tcW w:w="2418" w:type="dxa"/>
            <w:shd w:val="clear" w:color="auto" w:fill="D9D9D9"/>
          </w:tcPr>
          <w:p w:rsidR="004A69C9" w:rsidRPr="00021672" w:rsidRDefault="004A69C9" w:rsidP="009F1F73">
            <w:pPr>
              <w:jc w:val="both"/>
              <w:rPr>
                <w:b/>
                <w:sz w:val="20"/>
                <w:szCs w:val="20"/>
              </w:rPr>
            </w:pPr>
            <w:r w:rsidRPr="00021672">
              <w:rPr>
                <w:b/>
                <w:sz w:val="20"/>
                <w:szCs w:val="20"/>
              </w:rPr>
              <w:t xml:space="preserve">¿Cuenta con alguna formación  en evaluación y monitoreo de Programas Sociales? </w:t>
            </w:r>
          </w:p>
        </w:tc>
      </w:tr>
      <w:tr w:rsidR="004A69C9" w:rsidRPr="00E41FED" w:rsidTr="009F1F73">
        <w:tc>
          <w:tcPr>
            <w:tcW w:w="2230" w:type="dxa"/>
            <w:gridSpan w:val="2"/>
            <w:vMerge/>
          </w:tcPr>
          <w:p w:rsidR="004A69C9" w:rsidRPr="00E41FED" w:rsidRDefault="004A69C9" w:rsidP="009F1F73">
            <w:pPr>
              <w:rPr>
                <w:sz w:val="20"/>
                <w:szCs w:val="20"/>
              </w:rPr>
            </w:pPr>
          </w:p>
        </w:tc>
        <w:tc>
          <w:tcPr>
            <w:tcW w:w="1273" w:type="dxa"/>
          </w:tcPr>
          <w:p w:rsidR="004A69C9" w:rsidRDefault="004A69C9" w:rsidP="009F1F73">
            <w:pPr>
              <w:jc w:val="center"/>
              <w:rPr>
                <w:sz w:val="20"/>
                <w:szCs w:val="20"/>
                <w:lang w:eastAsia="es-ES"/>
              </w:rPr>
            </w:pPr>
            <w:r>
              <w:rPr>
                <w:sz w:val="20"/>
                <w:szCs w:val="20"/>
              </w:rPr>
              <w:t>Jefe de Unidad Departamental de Atención a Grupos Vulnerables</w:t>
            </w:r>
          </w:p>
        </w:tc>
        <w:tc>
          <w:tcPr>
            <w:tcW w:w="850" w:type="dxa"/>
          </w:tcPr>
          <w:p w:rsidR="004A69C9" w:rsidRDefault="004A69C9" w:rsidP="009F1F73">
            <w:pPr>
              <w:jc w:val="center"/>
              <w:rPr>
                <w:sz w:val="20"/>
                <w:szCs w:val="20"/>
                <w:lang w:eastAsia="es-ES"/>
              </w:rPr>
            </w:pPr>
            <w:r>
              <w:rPr>
                <w:sz w:val="20"/>
                <w:szCs w:val="20"/>
              </w:rPr>
              <w:t>Masculino</w:t>
            </w:r>
          </w:p>
        </w:tc>
        <w:tc>
          <w:tcPr>
            <w:tcW w:w="709" w:type="dxa"/>
          </w:tcPr>
          <w:p w:rsidR="004A69C9" w:rsidRDefault="004A69C9" w:rsidP="009F1F73">
            <w:pPr>
              <w:jc w:val="center"/>
              <w:rPr>
                <w:sz w:val="20"/>
                <w:szCs w:val="20"/>
                <w:lang w:eastAsia="es-ES"/>
              </w:rPr>
            </w:pPr>
            <w:r>
              <w:rPr>
                <w:sz w:val="20"/>
                <w:szCs w:val="20"/>
              </w:rPr>
              <w:t>35</w:t>
            </w:r>
          </w:p>
        </w:tc>
        <w:tc>
          <w:tcPr>
            <w:tcW w:w="1283" w:type="dxa"/>
            <w:gridSpan w:val="5"/>
          </w:tcPr>
          <w:p w:rsidR="004A69C9" w:rsidRDefault="004A69C9" w:rsidP="009F1F73">
            <w:pPr>
              <w:jc w:val="center"/>
              <w:rPr>
                <w:sz w:val="20"/>
                <w:szCs w:val="20"/>
                <w:lang w:eastAsia="es-ES"/>
              </w:rPr>
            </w:pPr>
            <w:r>
              <w:rPr>
                <w:sz w:val="20"/>
                <w:szCs w:val="20"/>
              </w:rPr>
              <w:t>Licenciatura en Filosofía</w:t>
            </w:r>
          </w:p>
        </w:tc>
        <w:tc>
          <w:tcPr>
            <w:tcW w:w="984" w:type="dxa"/>
          </w:tcPr>
          <w:p w:rsidR="004A69C9" w:rsidRDefault="004A69C9" w:rsidP="009F1F73">
            <w:pPr>
              <w:jc w:val="center"/>
              <w:rPr>
                <w:sz w:val="20"/>
                <w:szCs w:val="20"/>
                <w:lang w:eastAsia="es-ES"/>
              </w:rPr>
            </w:pPr>
            <w:r>
              <w:rPr>
                <w:sz w:val="20"/>
                <w:szCs w:val="20"/>
              </w:rPr>
              <w:t>Facultad de Filosofía y letras Universidad Nacional Autónoma de México</w:t>
            </w:r>
          </w:p>
        </w:tc>
        <w:tc>
          <w:tcPr>
            <w:tcW w:w="2418" w:type="dxa"/>
          </w:tcPr>
          <w:p w:rsidR="004A69C9" w:rsidRDefault="004A69C9" w:rsidP="009F1F73">
            <w:pPr>
              <w:jc w:val="both"/>
              <w:rPr>
                <w:sz w:val="20"/>
                <w:szCs w:val="20"/>
                <w:lang w:eastAsia="es-ES"/>
              </w:rPr>
            </w:pPr>
            <w:r>
              <w:rPr>
                <w:sz w:val="20"/>
                <w:szCs w:val="20"/>
              </w:rPr>
              <w:t xml:space="preserve">Si </w:t>
            </w:r>
          </w:p>
          <w:p w:rsidR="004A69C9" w:rsidRDefault="004A69C9" w:rsidP="009F1F73">
            <w:pPr>
              <w:jc w:val="both"/>
              <w:rPr>
                <w:sz w:val="20"/>
                <w:szCs w:val="20"/>
              </w:rPr>
            </w:pPr>
            <w:r>
              <w:rPr>
                <w:sz w:val="20"/>
                <w:szCs w:val="20"/>
              </w:rPr>
              <w:t>Curso ”Atención a la Violencia desde la perspectiva de Género: Equidad y diversidad para el acceso a la justicia” (Taller de Evaluación de la Política Publica en la Materia</w:t>
            </w:r>
          </w:p>
          <w:p w:rsidR="004A69C9" w:rsidRDefault="004A69C9" w:rsidP="009F1F73">
            <w:pPr>
              <w:jc w:val="both"/>
              <w:rPr>
                <w:sz w:val="20"/>
                <w:szCs w:val="20"/>
              </w:rPr>
            </w:pPr>
            <w:r>
              <w:rPr>
                <w:sz w:val="20"/>
                <w:szCs w:val="20"/>
              </w:rPr>
              <w:t xml:space="preserve">Curso de Rendición de Cuentas y Estado de Derecho en Democracias en Consolidación   </w:t>
            </w:r>
          </w:p>
          <w:p w:rsidR="004A69C9" w:rsidRDefault="004A69C9" w:rsidP="009F1F73">
            <w:pPr>
              <w:jc w:val="both"/>
              <w:rPr>
                <w:sz w:val="20"/>
                <w:szCs w:val="20"/>
              </w:rPr>
            </w:pPr>
            <w:r>
              <w:rPr>
                <w:sz w:val="20"/>
                <w:szCs w:val="20"/>
              </w:rPr>
              <w:t>Seminario del fenómeno de la corrupción</w:t>
            </w:r>
          </w:p>
          <w:p w:rsidR="004A69C9" w:rsidRDefault="004A69C9" w:rsidP="009F1F73">
            <w:pPr>
              <w:jc w:val="both"/>
              <w:rPr>
                <w:sz w:val="20"/>
                <w:szCs w:val="20"/>
                <w:lang w:eastAsia="es-ES"/>
              </w:rPr>
            </w:pPr>
            <w:r>
              <w:rPr>
                <w:sz w:val="20"/>
                <w:szCs w:val="20"/>
              </w:rPr>
              <w:t xml:space="preserve">Seminario Internacional de Evaluación de Política Pública en materia de </w:t>
            </w:r>
            <w:r>
              <w:rPr>
                <w:sz w:val="20"/>
                <w:szCs w:val="20"/>
              </w:rPr>
              <w:lastRenderedPageBreak/>
              <w:t xml:space="preserve">Derechos Humanos </w:t>
            </w:r>
          </w:p>
        </w:tc>
      </w:tr>
      <w:tr w:rsidR="004A69C9" w:rsidRPr="00E41FED" w:rsidTr="009F1F73">
        <w:tc>
          <w:tcPr>
            <w:tcW w:w="2230" w:type="dxa"/>
            <w:gridSpan w:val="2"/>
          </w:tcPr>
          <w:p w:rsidR="004A69C9" w:rsidRPr="00E41FED" w:rsidRDefault="004A69C9" w:rsidP="009F1F73">
            <w:pPr>
              <w:rPr>
                <w:sz w:val="20"/>
                <w:szCs w:val="20"/>
              </w:rPr>
            </w:pPr>
            <w:r>
              <w:rPr>
                <w:sz w:val="20"/>
                <w:szCs w:val="20"/>
              </w:rPr>
              <w:lastRenderedPageBreak/>
              <w:t>II.3. Parámetros y Metodología</w:t>
            </w:r>
            <w:r w:rsidRPr="00E41FED">
              <w:rPr>
                <w:sz w:val="20"/>
                <w:szCs w:val="20"/>
              </w:rPr>
              <w:t xml:space="preserve"> de la Evaluación </w:t>
            </w:r>
          </w:p>
        </w:tc>
        <w:tc>
          <w:tcPr>
            <w:tcW w:w="7517" w:type="dxa"/>
            <w:gridSpan w:val="10"/>
          </w:tcPr>
          <w:p w:rsidR="004A69C9" w:rsidRDefault="004A69C9" w:rsidP="009F1F73">
            <w:pPr>
              <w:jc w:val="both"/>
              <w:rPr>
                <w:b/>
                <w:sz w:val="20"/>
                <w:szCs w:val="20"/>
              </w:rPr>
            </w:pPr>
            <w:r>
              <w:rPr>
                <w:sz w:val="20"/>
                <w:szCs w:val="20"/>
              </w:rPr>
              <w:t xml:space="preserve"> </w:t>
            </w:r>
            <w:r>
              <w:rPr>
                <w:b/>
                <w:sz w:val="20"/>
                <w:szCs w:val="20"/>
              </w:rPr>
              <w:t>Ley de Desarrollo Social para el Distrito Federal</w:t>
            </w:r>
          </w:p>
          <w:p w:rsidR="004A69C9" w:rsidRDefault="004A69C9" w:rsidP="009F1F73">
            <w:pPr>
              <w:autoSpaceDE w:val="0"/>
              <w:autoSpaceDN w:val="0"/>
              <w:adjustRightInd w:val="0"/>
              <w:jc w:val="both"/>
              <w:rPr>
                <w:sz w:val="20"/>
                <w:szCs w:val="20"/>
              </w:rPr>
            </w:pPr>
            <w:r>
              <w:rPr>
                <w:b/>
                <w:sz w:val="20"/>
                <w:szCs w:val="20"/>
              </w:rPr>
              <w:t>Artículo 1° fracciones VIII y XV y Artículo 4°.</w:t>
            </w:r>
            <w:r>
              <w:rPr>
                <w:sz w:val="20"/>
                <w:szCs w:val="20"/>
              </w:rPr>
              <w:t xml:space="preserve"> Que contienen las disposiciones de ley para implementar acciones para alcanzar la plena equidad social para todos los grupos excluidos, en condiciones de subordinación o discriminación por razones de su condición socioeconómica, edad, sexo, pertenencia étnica, características físicas, preferencia sexual, origen nacional, práctica religiosa o cualquier otra XV. Integrar o reintegrar socialmente a los grupos de población excluidos de los ámbitos del desarrollo social, la familia o la comunidad con pleno respeto a su dignidad y derechos; así como la obligación de la autoridad a aplicar de manera equitativa los programas sociales, priorizando las necesidades de los grupos en condiciones de pobreza, exclusión y desigualdad social.</w:t>
            </w:r>
          </w:p>
          <w:p w:rsidR="004A69C9" w:rsidRPr="005F3671" w:rsidRDefault="004A69C9" w:rsidP="009F1F73">
            <w:pPr>
              <w:pStyle w:val="Ttulo2"/>
              <w:spacing w:before="0" w:after="0"/>
              <w:rPr>
                <w:rFonts w:ascii="Times New Roman" w:hAnsi="Times New Roman"/>
                <w:bCs w:val="0"/>
                <w:i w:val="0"/>
                <w:iCs w:val="0"/>
                <w:sz w:val="20"/>
                <w:szCs w:val="20"/>
                <w:lang w:eastAsia="es-ES"/>
              </w:rPr>
            </w:pPr>
            <w:r w:rsidRPr="005F3671">
              <w:rPr>
                <w:rFonts w:ascii="Times New Roman" w:hAnsi="Times New Roman"/>
                <w:bCs w:val="0"/>
                <w:i w:val="0"/>
                <w:iCs w:val="0"/>
                <w:sz w:val="20"/>
                <w:szCs w:val="20"/>
                <w:lang w:eastAsia="es-ES"/>
              </w:rPr>
              <w:t>Ley para las Personas con Discapacidad del Distrito Federal</w:t>
            </w:r>
          </w:p>
          <w:p w:rsidR="004A69C9" w:rsidRPr="0022386B" w:rsidRDefault="004A69C9" w:rsidP="009F1F73">
            <w:pPr>
              <w:jc w:val="both"/>
              <w:rPr>
                <w:color w:val="FF0000"/>
                <w:sz w:val="20"/>
                <w:szCs w:val="20"/>
              </w:rPr>
            </w:pPr>
            <w:r>
              <w:rPr>
                <w:b/>
                <w:sz w:val="20"/>
                <w:szCs w:val="20"/>
              </w:rPr>
              <w:t>Artículos 1°, 2° fracciones I, IV, VI y VII; 3°, 5°, 16, 17, 21 fracciones I, II, III y IV; 22, 23 y 27.</w:t>
            </w:r>
            <w:r>
              <w:rPr>
                <w:sz w:val="20"/>
                <w:szCs w:val="20"/>
              </w:rPr>
              <w:t xml:space="preserve"> Que son los que definen y norman las medidas y principios de las acciones y políticas públicas destinadas a personas con discapacidad, en materia de libre</w:t>
            </w:r>
            <w:r>
              <w:rPr>
                <w:sz w:val="20"/>
                <w:szCs w:val="20"/>
              </w:rPr>
              <w:br/>
              <w:t>desplazamiento y el transporte y de desarrollo social; así como las facultades y obligaciones, en la materia, del Gobierno del Distrito Federal.</w:t>
            </w:r>
          </w:p>
        </w:tc>
      </w:tr>
      <w:tr w:rsidR="004A69C9" w:rsidRPr="00E41FED" w:rsidTr="009F1F73">
        <w:tc>
          <w:tcPr>
            <w:tcW w:w="9747" w:type="dxa"/>
            <w:gridSpan w:val="12"/>
          </w:tcPr>
          <w:p w:rsidR="004A69C9" w:rsidRPr="00E66595" w:rsidRDefault="004A69C9" w:rsidP="009F1F73">
            <w:pPr>
              <w:jc w:val="both"/>
              <w:rPr>
                <w:b/>
                <w:sz w:val="20"/>
                <w:szCs w:val="20"/>
              </w:rPr>
            </w:pPr>
            <w:r w:rsidRPr="00E66595">
              <w:rPr>
                <w:b/>
                <w:sz w:val="20"/>
                <w:szCs w:val="20"/>
              </w:rPr>
              <w:t>III.- Evaluación  del Diseño del Programa</w:t>
            </w:r>
          </w:p>
        </w:tc>
      </w:tr>
      <w:tr w:rsidR="004A69C9" w:rsidRPr="00E41FED" w:rsidTr="009F1F73">
        <w:tc>
          <w:tcPr>
            <w:tcW w:w="2224" w:type="dxa"/>
          </w:tcPr>
          <w:p w:rsidR="004A69C9" w:rsidRPr="00DB2A1C" w:rsidRDefault="004A69C9" w:rsidP="009F1F73">
            <w:pPr>
              <w:jc w:val="both"/>
              <w:rPr>
                <w:sz w:val="20"/>
                <w:szCs w:val="20"/>
              </w:rPr>
            </w:pPr>
            <w:r w:rsidRPr="00DB2A1C">
              <w:rPr>
                <w:sz w:val="20"/>
                <w:szCs w:val="20"/>
              </w:rPr>
              <w:t>III: I Problema o Necesidad Social Prioritaria que Atiende el Programa</w:t>
            </w:r>
          </w:p>
        </w:tc>
        <w:tc>
          <w:tcPr>
            <w:tcW w:w="7523" w:type="dxa"/>
            <w:gridSpan w:val="11"/>
          </w:tcPr>
          <w:p w:rsidR="004A69C9" w:rsidRDefault="004A69C9" w:rsidP="009F1F73">
            <w:pPr>
              <w:jc w:val="both"/>
              <w:rPr>
                <w:sz w:val="20"/>
                <w:szCs w:val="20"/>
              </w:rPr>
            </w:pPr>
            <w:r>
              <w:rPr>
                <w:color w:val="000000"/>
                <w:sz w:val="20"/>
                <w:szCs w:val="20"/>
              </w:rPr>
              <w:t>De acuerdo a datos del Censo de Población del INEGI 2010, el universo de personas con discapacidad de la delegación de Milpa Alta es el 4.5% de su población total. Este antecedente obligó a las autoridades a proporcionar atención directa a esta población, generando con ello la visualización de necesidades, entre las que destaca la rehabilitación y la atención especializada y junto con ello, promover los medios y adecuaciones para su desplazamiento y desarrollo dentro del entorno urbano, y generar condiciones para que aquellas personas que cuenten alguna capacitación y deseen incorporarse a las actividades productivas, reciban una compensación económica que sirva como ayuda en su proceso de acceso a vida incluyente y productiva.</w:t>
            </w:r>
          </w:p>
        </w:tc>
      </w:tr>
      <w:tr w:rsidR="004A69C9" w:rsidRPr="00E41FED" w:rsidTr="009F1F73">
        <w:tc>
          <w:tcPr>
            <w:tcW w:w="2230" w:type="dxa"/>
            <w:gridSpan w:val="2"/>
          </w:tcPr>
          <w:p w:rsidR="004A69C9" w:rsidRDefault="004A69C9" w:rsidP="009F1F73">
            <w:pPr>
              <w:rPr>
                <w:sz w:val="20"/>
                <w:szCs w:val="20"/>
              </w:rPr>
            </w:pPr>
            <w:r>
              <w:rPr>
                <w:sz w:val="20"/>
                <w:szCs w:val="20"/>
              </w:rPr>
              <w:t>III. 2 La Población Potencial Objetivo y beneficiaria del programa</w:t>
            </w:r>
          </w:p>
        </w:tc>
        <w:tc>
          <w:tcPr>
            <w:tcW w:w="7517" w:type="dxa"/>
            <w:gridSpan w:val="10"/>
          </w:tcPr>
          <w:p w:rsidR="004A69C9" w:rsidRPr="004C1643" w:rsidRDefault="004A69C9" w:rsidP="009F1F73">
            <w:pPr>
              <w:jc w:val="both"/>
              <w:rPr>
                <w:sz w:val="20"/>
                <w:szCs w:val="20"/>
                <w:lang w:eastAsia="es-ES"/>
              </w:rPr>
            </w:pPr>
            <w:r>
              <w:rPr>
                <w:sz w:val="20"/>
                <w:szCs w:val="20"/>
              </w:rPr>
              <w:t>De acuerdo a datos proporcionados por el Censo de Población INEGI 2010, según condición de discapacidad y el Centro de Atención Múltiple (C.A.M.) No. 44, en la Delegación Milpa Alta residen 5,830 personas con algún tipo de discapacidad (motriz, auditiva, visual, del lenguaje o intelectual)</w:t>
            </w:r>
          </w:p>
        </w:tc>
      </w:tr>
      <w:tr w:rsidR="004A69C9" w:rsidRPr="00E41FED" w:rsidTr="009F1F73">
        <w:trPr>
          <w:trHeight w:val="791"/>
        </w:trPr>
        <w:tc>
          <w:tcPr>
            <w:tcW w:w="2230" w:type="dxa"/>
            <w:gridSpan w:val="2"/>
          </w:tcPr>
          <w:p w:rsidR="004A69C9" w:rsidRDefault="004A69C9" w:rsidP="009F1F73">
            <w:pPr>
              <w:rPr>
                <w:sz w:val="20"/>
                <w:szCs w:val="20"/>
              </w:rPr>
            </w:pPr>
            <w:r>
              <w:rPr>
                <w:sz w:val="20"/>
                <w:szCs w:val="20"/>
              </w:rPr>
              <w:t>III. 3 Objetivos de Corto, Mediano y Largo Plazo del Programa</w:t>
            </w:r>
          </w:p>
        </w:tc>
        <w:tc>
          <w:tcPr>
            <w:tcW w:w="7517" w:type="dxa"/>
            <w:gridSpan w:val="10"/>
          </w:tcPr>
          <w:p w:rsidR="004A69C9" w:rsidRPr="006E3681" w:rsidRDefault="004A69C9" w:rsidP="009F1F73">
            <w:pPr>
              <w:jc w:val="both"/>
              <w:rPr>
                <w:color w:val="FF0000"/>
                <w:sz w:val="20"/>
                <w:szCs w:val="20"/>
              </w:rPr>
            </w:pPr>
            <w:r>
              <w:rPr>
                <w:sz w:val="20"/>
                <w:szCs w:val="20"/>
              </w:rPr>
              <w:t>Las personas con discapacidad enfrentan grandes problemas sociales como son: la marginación económica, la institucional, laboral, de salud; además, deberán sortear las barreras naturales que su condición les impone, a ello se añade la insuficiencia de programas orientados a este sector de la población, en consecuencia, nuestras acciones contemplan la modificación anual del programa c</w:t>
            </w:r>
            <w:r w:rsidRPr="00DF5B6C">
              <w:rPr>
                <w:sz w:val="20"/>
                <w:szCs w:val="20"/>
              </w:rPr>
              <w:t>on la intención de que paulatinamente cumplamos nuestro plan de proporcionar</w:t>
            </w:r>
            <w:r>
              <w:rPr>
                <w:sz w:val="20"/>
                <w:szCs w:val="20"/>
              </w:rPr>
              <w:t xml:space="preserve"> mayor y mejor</w:t>
            </w:r>
            <w:r w:rsidRPr="00DF5B6C">
              <w:rPr>
                <w:sz w:val="20"/>
                <w:szCs w:val="20"/>
              </w:rPr>
              <w:t xml:space="preserve"> atención </w:t>
            </w:r>
            <w:r>
              <w:rPr>
                <w:sz w:val="20"/>
                <w:szCs w:val="20"/>
              </w:rPr>
              <w:t>a</w:t>
            </w:r>
            <w:r w:rsidRPr="00DF5B6C">
              <w:rPr>
                <w:sz w:val="20"/>
                <w:szCs w:val="20"/>
              </w:rPr>
              <w:t xml:space="preserve"> las personas que con</w:t>
            </w:r>
            <w:r>
              <w:rPr>
                <w:sz w:val="20"/>
                <w:szCs w:val="20"/>
              </w:rPr>
              <w:t>forman este sector de población.</w:t>
            </w:r>
          </w:p>
        </w:tc>
      </w:tr>
      <w:tr w:rsidR="004A69C9" w:rsidRPr="00E41FED" w:rsidTr="009F1F73">
        <w:tc>
          <w:tcPr>
            <w:tcW w:w="2230" w:type="dxa"/>
            <w:gridSpan w:val="2"/>
          </w:tcPr>
          <w:p w:rsidR="004A69C9" w:rsidRDefault="004A69C9" w:rsidP="009F1F73">
            <w:pPr>
              <w:rPr>
                <w:sz w:val="20"/>
                <w:szCs w:val="20"/>
              </w:rPr>
            </w:pPr>
            <w:r>
              <w:rPr>
                <w:sz w:val="20"/>
                <w:szCs w:val="20"/>
              </w:rPr>
              <w:t>III.4 Análisis de involucrados del programa</w:t>
            </w:r>
          </w:p>
        </w:tc>
        <w:tc>
          <w:tcPr>
            <w:tcW w:w="7517" w:type="dxa"/>
            <w:gridSpan w:val="10"/>
          </w:tcPr>
          <w:p w:rsidR="004A69C9" w:rsidRPr="006E2DB3" w:rsidRDefault="004A69C9" w:rsidP="009F1F73">
            <w:pPr>
              <w:jc w:val="both"/>
              <w:rPr>
                <w:sz w:val="20"/>
                <w:szCs w:val="20"/>
              </w:rPr>
            </w:pPr>
            <w:r>
              <w:rPr>
                <w:sz w:val="20"/>
                <w:szCs w:val="20"/>
              </w:rPr>
              <w:t>La importancia de este programa, radica en la capacidad de la autoridad delegacional para generar políticas públicas y soluciones colectivas para garantizar condiciones seguras y dignas que permitan a las personas con discapacidad, mejorar su nivel de vida y sobre todo, destinando además del recurso monetario, la capacitación permanente al personal involucrado en la atención a las personas con discapacidad, y la sensibilización del resto del personal delegacional. Con esto, estaremos contribuyendo a impulsar la educación integral, disfrute de la cultura, capacitación, deporte, rehabilitación e integración social, que son condiciones mínimas necesarias para que este sector de la población viva y conviva con dignidad, equidad, calidez y respeto.</w:t>
            </w:r>
          </w:p>
        </w:tc>
      </w:tr>
      <w:tr w:rsidR="004A69C9" w:rsidRPr="00E41FED" w:rsidTr="009F1F73">
        <w:tc>
          <w:tcPr>
            <w:tcW w:w="2230" w:type="dxa"/>
            <w:gridSpan w:val="2"/>
          </w:tcPr>
          <w:p w:rsidR="004A69C9" w:rsidRDefault="004A69C9" w:rsidP="009F1F73">
            <w:pPr>
              <w:rPr>
                <w:sz w:val="20"/>
                <w:szCs w:val="20"/>
              </w:rPr>
            </w:pPr>
            <w:r>
              <w:rPr>
                <w:sz w:val="20"/>
                <w:szCs w:val="20"/>
              </w:rPr>
              <w:t>III.5 Consistencia Interna del Programa (Vinculación del Programa con el Problema  Social Identificad</w:t>
            </w:r>
          </w:p>
        </w:tc>
        <w:tc>
          <w:tcPr>
            <w:tcW w:w="7517" w:type="dxa"/>
            <w:gridSpan w:val="10"/>
          </w:tcPr>
          <w:p w:rsidR="004A69C9" w:rsidRDefault="004A69C9" w:rsidP="009F1F73">
            <w:pPr>
              <w:autoSpaceDE w:val="0"/>
              <w:autoSpaceDN w:val="0"/>
              <w:adjustRightInd w:val="0"/>
              <w:jc w:val="both"/>
              <w:rPr>
                <w:sz w:val="20"/>
                <w:szCs w:val="20"/>
              </w:rPr>
            </w:pPr>
            <w:r>
              <w:rPr>
                <w:sz w:val="20"/>
                <w:szCs w:val="20"/>
              </w:rPr>
              <w:t>Una vez conocido el diagnóstico de este sector de la población de Milpa Alta y los recursos destinados al programa, se logró refrendar el objetivo de proporcionar ayuda a 72 personas.</w:t>
            </w:r>
          </w:p>
          <w:p w:rsidR="004A69C9" w:rsidRPr="00094679" w:rsidRDefault="004A69C9" w:rsidP="009F1F73">
            <w:pPr>
              <w:jc w:val="both"/>
              <w:rPr>
                <w:sz w:val="20"/>
                <w:szCs w:val="20"/>
              </w:rPr>
            </w:pPr>
            <w:r>
              <w:rPr>
                <w:sz w:val="20"/>
                <w:szCs w:val="20"/>
              </w:rPr>
              <w:t xml:space="preserve">Para conocer nuestra eficiencia de cobertura será necesario aplicar la siguiente representación matemática </w:t>
            </w:r>
            <w:r w:rsidRPr="00FA078D">
              <w:rPr>
                <w:sz w:val="20"/>
                <w:szCs w:val="20"/>
              </w:rPr>
              <w:t>No. de ayudas programadas/No. de ayudas otorgadas.</w:t>
            </w:r>
            <w:r>
              <w:rPr>
                <w:sz w:val="20"/>
                <w:szCs w:val="20"/>
              </w:rPr>
              <w:t xml:space="preserve"> No se aplicó una fórmula para medir la calidad de la atención.</w:t>
            </w:r>
          </w:p>
        </w:tc>
      </w:tr>
      <w:tr w:rsidR="004A69C9" w:rsidRPr="00E41FED" w:rsidTr="009F1F73">
        <w:trPr>
          <w:trHeight w:val="2996"/>
        </w:trPr>
        <w:tc>
          <w:tcPr>
            <w:tcW w:w="2230" w:type="dxa"/>
            <w:gridSpan w:val="2"/>
          </w:tcPr>
          <w:p w:rsidR="004A69C9" w:rsidRPr="00FF058D" w:rsidRDefault="004A69C9" w:rsidP="009F1F73">
            <w:pPr>
              <w:rPr>
                <w:sz w:val="20"/>
                <w:szCs w:val="20"/>
              </w:rPr>
            </w:pPr>
            <w:r w:rsidRPr="00FF058D">
              <w:rPr>
                <w:sz w:val="20"/>
                <w:szCs w:val="20"/>
              </w:rPr>
              <w:lastRenderedPageBreak/>
              <w:t>III.6 Alineación del Programa con la Política social del Distrito Federal</w:t>
            </w:r>
          </w:p>
        </w:tc>
        <w:tc>
          <w:tcPr>
            <w:tcW w:w="7517" w:type="dxa"/>
            <w:gridSpan w:val="10"/>
          </w:tcPr>
          <w:p w:rsidR="004A69C9" w:rsidRPr="00410918" w:rsidRDefault="004A69C9" w:rsidP="009F1F73">
            <w:pPr>
              <w:jc w:val="both"/>
              <w:rPr>
                <w:sz w:val="20"/>
                <w:szCs w:val="20"/>
              </w:rPr>
            </w:pPr>
            <w:r>
              <w:rPr>
                <w:sz w:val="20"/>
                <w:szCs w:val="20"/>
              </w:rPr>
              <w:t>Se encuadra en dos de los cinco ejes del Programa General de Desarrollo del Distrito Federal 2013 - 2018: el Eje 1, Equidad e Inclusión Social para el Desarrollo Humano, que orienta a adoptar un enfoque de derechos en toda la política pública y acciones del Gobierno del Distrito Federal, con el objetivo de reducir la exclusión y la discriminación y aumentar la calidad de vida de las y los habitantes de la Ciudad de México. Los objetivos, metas y líneas de acción planteados en este eje buscan transformar a la Ciudad de México en una Capital Social, a través de la promoción colectiva y corresponsable de los derechos humanos. El Eje 2. Gobernabilidad, Seguridad y Protección Ciudadana pretende impulsar la reforma política para lograr que la Ciudad cuente con una constitución local, que fortalecerá las relaciones de coordinación y vinculación entre las Delegaciones y el Gobierno central, así como mejorar las políticas de prevención del delito, seguridad pública, procuración de justicia y gestión del riesgo, a fin de fortalecer el tejido social, la paz y la tranquilidad.</w:t>
            </w:r>
          </w:p>
        </w:tc>
      </w:tr>
      <w:tr w:rsidR="004A69C9" w:rsidRPr="00E41FED" w:rsidTr="009F1F73">
        <w:tc>
          <w:tcPr>
            <w:tcW w:w="2230" w:type="dxa"/>
            <w:gridSpan w:val="2"/>
            <w:vMerge w:val="restart"/>
          </w:tcPr>
          <w:p w:rsidR="004A69C9" w:rsidRPr="00DB2A1C" w:rsidRDefault="004A69C9" w:rsidP="009F1F73">
            <w:pPr>
              <w:rPr>
                <w:sz w:val="20"/>
                <w:szCs w:val="20"/>
              </w:rPr>
            </w:pPr>
            <w:r w:rsidRPr="00DB2A1C">
              <w:rPr>
                <w:rFonts w:eastAsia="Calibri"/>
                <w:bCs/>
                <w:sz w:val="20"/>
                <w:szCs w:val="20"/>
                <w:lang w:val="es-MX" w:eastAsia="en-US"/>
              </w:rPr>
              <w:t>III.7 Matriz FODA del Diseño del Programa</w:t>
            </w:r>
          </w:p>
        </w:tc>
        <w:tc>
          <w:tcPr>
            <w:tcW w:w="7517" w:type="dxa"/>
            <w:gridSpan w:val="10"/>
          </w:tcPr>
          <w:p w:rsidR="004A69C9" w:rsidRPr="006E2DB3" w:rsidRDefault="004A69C9" w:rsidP="009F1F73">
            <w:pPr>
              <w:jc w:val="center"/>
              <w:rPr>
                <w:rFonts w:eastAsia="Calibri"/>
                <w:sz w:val="20"/>
                <w:szCs w:val="20"/>
                <w:lang w:val="es-MX" w:eastAsia="en-US"/>
              </w:rPr>
            </w:pPr>
            <w:r>
              <w:rPr>
                <w:sz w:val="20"/>
                <w:szCs w:val="20"/>
              </w:rPr>
              <w:t>Análisis Interno</w:t>
            </w:r>
          </w:p>
        </w:tc>
      </w:tr>
      <w:tr w:rsidR="004A69C9" w:rsidRPr="00E41FED" w:rsidTr="009F1F73">
        <w:tc>
          <w:tcPr>
            <w:tcW w:w="2230" w:type="dxa"/>
            <w:gridSpan w:val="2"/>
            <w:vMerge/>
          </w:tcPr>
          <w:p w:rsidR="004A69C9" w:rsidRPr="00DB2A1C" w:rsidRDefault="004A69C9" w:rsidP="009F1F73">
            <w:pPr>
              <w:rPr>
                <w:rFonts w:eastAsia="Calibri"/>
                <w:bCs/>
                <w:sz w:val="20"/>
                <w:szCs w:val="20"/>
                <w:lang w:val="es-MX" w:eastAsia="en-US"/>
              </w:rPr>
            </w:pPr>
          </w:p>
        </w:tc>
        <w:tc>
          <w:tcPr>
            <w:tcW w:w="3290" w:type="dxa"/>
            <w:gridSpan w:val="5"/>
            <w:shd w:val="clear" w:color="auto" w:fill="D9D9D9"/>
          </w:tcPr>
          <w:p w:rsidR="004A69C9" w:rsidRPr="00FA2254" w:rsidRDefault="004A69C9" w:rsidP="009F1F73">
            <w:pPr>
              <w:pStyle w:val="Ttulo1"/>
              <w:spacing w:before="0" w:after="0"/>
              <w:jc w:val="center"/>
              <w:rPr>
                <w:rFonts w:ascii="Times New Roman" w:hAnsi="Times New Roman"/>
                <w:b w:val="0"/>
                <w:sz w:val="20"/>
                <w:szCs w:val="20"/>
              </w:rPr>
            </w:pPr>
            <w:r w:rsidRPr="00FA2254">
              <w:rPr>
                <w:rFonts w:ascii="Times New Roman" w:hAnsi="Times New Roman"/>
                <w:b w:val="0"/>
                <w:sz w:val="20"/>
                <w:szCs w:val="20"/>
              </w:rPr>
              <w:t>Fortalezas</w:t>
            </w:r>
          </w:p>
        </w:tc>
        <w:tc>
          <w:tcPr>
            <w:tcW w:w="4227" w:type="dxa"/>
            <w:gridSpan w:val="5"/>
            <w:shd w:val="clear" w:color="auto" w:fill="D9D9D9"/>
          </w:tcPr>
          <w:p w:rsidR="004A69C9" w:rsidRPr="00FA2254" w:rsidRDefault="004A69C9" w:rsidP="009F1F73">
            <w:pPr>
              <w:pStyle w:val="Ttulo1"/>
              <w:spacing w:before="0" w:after="0"/>
              <w:jc w:val="center"/>
              <w:rPr>
                <w:rFonts w:ascii="Times New Roman" w:hAnsi="Times New Roman"/>
                <w:b w:val="0"/>
                <w:sz w:val="20"/>
                <w:szCs w:val="20"/>
              </w:rPr>
            </w:pPr>
            <w:r w:rsidRPr="00FA2254">
              <w:rPr>
                <w:rFonts w:ascii="Times New Roman" w:hAnsi="Times New Roman"/>
                <w:b w:val="0"/>
                <w:sz w:val="20"/>
                <w:szCs w:val="20"/>
              </w:rPr>
              <w:t>Debilidades</w:t>
            </w:r>
          </w:p>
        </w:tc>
      </w:tr>
      <w:tr w:rsidR="004A69C9" w:rsidRPr="00E41FED" w:rsidTr="009F1F73">
        <w:tc>
          <w:tcPr>
            <w:tcW w:w="2230" w:type="dxa"/>
            <w:gridSpan w:val="2"/>
            <w:vMerge/>
          </w:tcPr>
          <w:p w:rsidR="004A69C9" w:rsidRPr="00DB2A1C" w:rsidRDefault="004A69C9" w:rsidP="009F1F73">
            <w:pPr>
              <w:rPr>
                <w:rFonts w:eastAsia="Calibri"/>
                <w:bCs/>
                <w:sz w:val="20"/>
                <w:szCs w:val="20"/>
                <w:lang w:val="es-MX" w:eastAsia="en-US"/>
              </w:rPr>
            </w:pPr>
          </w:p>
        </w:tc>
        <w:tc>
          <w:tcPr>
            <w:tcW w:w="3290" w:type="dxa"/>
            <w:gridSpan w:val="5"/>
            <w:vAlign w:val="center"/>
          </w:tcPr>
          <w:p w:rsidR="004A69C9" w:rsidRDefault="004A69C9" w:rsidP="009F1F73">
            <w:pPr>
              <w:autoSpaceDE w:val="0"/>
              <w:autoSpaceDN w:val="0"/>
              <w:adjustRightInd w:val="0"/>
              <w:jc w:val="both"/>
              <w:rPr>
                <w:color w:val="000000"/>
                <w:sz w:val="20"/>
                <w:szCs w:val="20"/>
                <w:lang w:eastAsia="es-ES"/>
              </w:rPr>
            </w:pPr>
            <w:r>
              <w:rPr>
                <w:color w:val="000000"/>
                <w:sz w:val="20"/>
                <w:szCs w:val="20"/>
              </w:rPr>
              <w:t xml:space="preserve">Responde a una necesidad de equidad en igualdad y oportunidades con respeto a los derechos humanos. </w:t>
            </w:r>
          </w:p>
        </w:tc>
        <w:tc>
          <w:tcPr>
            <w:tcW w:w="4227" w:type="dxa"/>
            <w:gridSpan w:val="5"/>
            <w:vAlign w:val="center"/>
          </w:tcPr>
          <w:p w:rsidR="004A69C9" w:rsidRDefault="004A69C9" w:rsidP="009F1F73">
            <w:pPr>
              <w:autoSpaceDE w:val="0"/>
              <w:autoSpaceDN w:val="0"/>
              <w:adjustRightInd w:val="0"/>
              <w:jc w:val="both"/>
              <w:rPr>
                <w:color w:val="000000"/>
                <w:sz w:val="20"/>
                <w:szCs w:val="20"/>
                <w:lang w:eastAsia="es-ES"/>
              </w:rPr>
            </w:pPr>
            <w:r>
              <w:rPr>
                <w:color w:val="000000"/>
                <w:sz w:val="20"/>
                <w:szCs w:val="20"/>
              </w:rPr>
              <w:t>En ocasiones no se cuenta con el presupuesto suficiente, para atender oportunamente un número mayor de solicitudes.</w:t>
            </w:r>
          </w:p>
        </w:tc>
      </w:tr>
      <w:tr w:rsidR="004A69C9" w:rsidRPr="00E41FED" w:rsidTr="009F1F73">
        <w:tc>
          <w:tcPr>
            <w:tcW w:w="2230" w:type="dxa"/>
            <w:gridSpan w:val="2"/>
            <w:vMerge/>
          </w:tcPr>
          <w:p w:rsidR="004A69C9" w:rsidRPr="00DB2A1C" w:rsidRDefault="004A69C9" w:rsidP="009F1F73">
            <w:pPr>
              <w:rPr>
                <w:rFonts w:eastAsia="Calibri"/>
                <w:bCs/>
                <w:sz w:val="20"/>
                <w:szCs w:val="20"/>
                <w:lang w:val="es-MX" w:eastAsia="en-US"/>
              </w:rPr>
            </w:pPr>
          </w:p>
        </w:tc>
        <w:tc>
          <w:tcPr>
            <w:tcW w:w="7517" w:type="dxa"/>
            <w:gridSpan w:val="10"/>
          </w:tcPr>
          <w:p w:rsidR="004A69C9" w:rsidRPr="004811B1" w:rsidRDefault="004A69C9" w:rsidP="009F1F73">
            <w:pPr>
              <w:pStyle w:val="Ttulo1"/>
              <w:spacing w:before="0" w:after="0"/>
              <w:jc w:val="center"/>
              <w:rPr>
                <w:rFonts w:ascii="Times New Roman" w:eastAsia="Calibri" w:hAnsi="Times New Roman"/>
                <w:b w:val="0"/>
                <w:sz w:val="20"/>
                <w:szCs w:val="20"/>
                <w:lang w:val="es-MX" w:eastAsia="en-US"/>
              </w:rPr>
            </w:pPr>
            <w:r w:rsidRPr="004811B1">
              <w:rPr>
                <w:rFonts w:ascii="Times New Roman" w:hAnsi="Times New Roman"/>
                <w:b w:val="0"/>
                <w:sz w:val="20"/>
                <w:szCs w:val="20"/>
                <w:lang w:val="es-MX"/>
              </w:rPr>
              <w:t>Análisis Externo</w:t>
            </w:r>
          </w:p>
        </w:tc>
      </w:tr>
      <w:tr w:rsidR="004A69C9" w:rsidRPr="00E41FED" w:rsidTr="009F1F73">
        <w:tc>
          <w:tcPr>
            <w:tcW w:w="2230" w:type="dxa"/>
            <w:gridSpan w:val="2"/>
            <w:vMerge/>
          </w:tcPr>
          <w:p w:rsidR="004A69C9" w:rsidRPr="00DB2A1C" w:rsidRDefault="004A69C9" w:rsidP="009F1F73">
            <w:pPr>
              <w:rPr>
                <w:rFonts w:eastAsia="Calibri"/>
                <w:bCs/>
                <w:sz w:val="20"/>
                <w:szCs w:val="20"/>
                <w:lang w:val="es-MX" w:eastAsia="en-US"/>
              </w:rPr>
            </w:pPr>
          </w:p>
        </w:tc>
        <w:tc>
          <w:tcPr>
            <w:tcW w:w="3290" w:type="dxa"/>
            <w:gridSpan w:val="5"/>
            <w:shd w:val="clear" w:color="auto" w:fill="D9D9D9"/>
          </w:tcPr>
          <w:p w:rsidR="004A69C9" w:rsidRPr="00FA2254" w:rsidRDefault="004A69C9" w:rsidP="009F1F73">
            <w:pPr>
              <w:pStyle w:val="Ttulo1"/>
              <w:spacing w:before="0" w:after="0"/>
              <w:jc w:val="center"/>
              <w:rPr>
                <w:rFonts w:ascii="Times New Roman" w:hAnsi="Times New Roman"/>
                <w:b w:val="0"/>
                <w:sz w:val="20"/>
                <w:szCs w:val="20"/>
              </w:rPr>
            </w:pPr>
            <w:r w:rsidRPr="00FA2254">
              <w:rPr>
                <w:rFonts w:ascii="Times New Roman" w:hAnsi="Times New Roman"/>
                <w:b w:val="0"/>
                <w:sz w:val="20"/>
                <w:szCs w:val="20"/>
              </w:rPr>
              <w:t>Oportunidades</w:t>
            </w:r>
          </w:p>
        </w:tc>
        <w:tc>
          <w:tcPr>
            <w:tcW w:w="4227" w:type="dxa"/>
            <w:gridSpan w:val="5"/>
            <w:shd w:val="clear" w:color="auto" w:fill="D9D9D9"/>
          </w:tcPr>
          <w:p w:rsidR="004A69C9" w:rsidRPr="00FA2254" w:rsidRDefault="004A69C9" w:rsidP="009F1F73">
            <w:pPr>
              <w:pStyle w:val="Ttulo1"/>
              <w:spacing w:before="0" w:after="0"/>
              <w:jc w:val="center"/>
              <w:rPr>
                <w:rFonts w:ascii="Times New Roman" w:hAnsi="Times New Roman"/>
                <w:b w:val="0"/>
                <w:sz w:val="20"/>
                <w:szCs w:val="20"/>
              </w:rPr>
            </w:pPr>
            <w:r w:rsidRPr="00FA2254">
              <w:rPr>
                <w:rFonts w:ascii="Times New Roman" w:hAnsi="Times New Roman"/>
                <w:b w:val="0"/>
                <w:sz w:val="20"/>
                <w:szCs w:val="20"/>
              </w:rPr>
              <w:t>Amenazas</w:t>
            </w:r>
          </w:p>
        </w:tc>
      </w:tr>
      <w:tr w:rsidR="004A69C9" w:rsidRPr="00E41FED" w:rsidTr="009F1F73">
        <w:trPr>
          <w:trHeight w:val="621"/>
        </w:trPr>
        <w:tc>
          <w:tcPr>
            <w:tcW w:w="2230" w:type="dxa"/>
            <w:gridSpan w:val="2"/>
            <w:vMerge/>
          </w:tcPr>
          <w:p w:rsidR="004A69C9" w:rsidRPr="00DB2A1C" w:rsidRDefault="004A69C9" w:rsidP="009F1F73">
            <w:pPr>
              <w:rPr>
                <w:rFonts w:eastAsia="Calibri"/>
                <w:bCs/>
                <w:sz w:val="20"/>
                <w:szCs w:val="20"/>
                <w:lang w:val="es-MX" w:eastAsia="en-US"/>
              </w:rPr>
            </w:pPr>
          </w:p>
        </w:tc>
        <w:tc>
          <w:tcPr>
            <w:tcW w:w="3290" w:type="dxa"/>
            <w:gridSpan w:val="5"/>
            <w:vAlign w:val="center"/>
          </w:tcPr>
          <w:p w:rsidR="004A69C9" w:rsidRPr="00410918" w:rsidRDefault="004A69C9" w:rsidP="009F1F73">
            <w:pPr>
              <w:autoSpaceDE w:val="0"/>
              <w:autoSpaceDN w:val="0"/>
              <w:adjustRightInd w:val="0"/>
              <w:jc w:val="both"/>
              <w:rPr>
                <w:rFonts w:eastAsia="Calibri"/>
                <w:sz w:val="20"/>
                <w:szCs w:val="20"/>
                <w:lang w:eastAsia="es-MX"/>
              </w:rPr>
            </w:pPr>
            <w:r>
              <w:rPr>
                <w:color w:val="000000"/>
                <w:sz w:val="20"/>
                <w:szCs w:val="20"/>
              </w:rPr>
              <w:t>Generar la participación libre y voluntaria, mejorar la calidad de vida de las personas con discapacidad.</w:t>
            </w:r>
          </w:p>
        </w:tc>
        <w:tc>
          <w:tcPr>
            <w:tcW w:w="4227" w:type="dxa"/>
            <w:gridSpan w:val="5"/>
            <w:vAlign w:val="center"/>
          </w:tcPr>
          <w:p w:rsidR="004A69C9" w:rsidRDefault="004A69C9" w:rsidP="009F1F73">
            <w:pPr>
              <w:autoSpaceDE w:val="0"/>
              <w:autoSpaceDN w:val="0"/>
              <w:adjustRightInd w:val="0"/>
              <w:jc w:val="both"/>
              <w:rPr>
                <w:color w:val="000000"/>
                <w:sz w:val="20"/>
                <w:szCs w:val="20"/>
                <w:lang w:eastAsia="es-ES"/>
              </w:rPr>
            </w:pPr>
            <w:r>
              <w:rPr>
                <w:color w:val="000000"/>
                <w:sz w:val="20"/>
                <w:szCs w:val="20"/>
              </w:rPr>
              <w:t>La duplicidad de esfuerzos, provoca una insana competencia.</w:t>
            </w:r>
          </w:p>
        </w:tc>
      </w:tr>
      <w:tr w:rsidR="004A69C9" w:rsidRPr="00E41FED" w:rsidTr="009F1F73">
        <w:tc>
          <w:tcPr>
            <w:tcW w:w="9747" w:type="dxa"/>
            <w:gridSpan w:val="12"/>
          </w:tcPr>
          <w:p w:rsidR="004A69C9" w:rsidRPr="006E2DB3" w:rsidRDefault="004A69C9" w:rsidP="009F1F73">
            <w:pPr>
              <w:spacing w:line="336" w:lineRule="atLeast"/>
              <w:rPr>
                <w:b/>
                <w:bCs/>
                <w:color w:val="252525"/>
                <w:sz w:val="20"/>
                <w:szCs w:val="20"/>
                <w:lang w:val="es-MX" w:eastAsia="es-MX"/>
              </w:rPr>
            </w:pPr>
            <w:r>
              <w:rPr>
                <w:b/>
                <w:bCs/>
                <w:color w:val="252525"/>
                <w:sz w:val="20"/>
                <w:szCs w:val="20"/>
                <w:lang w:val="es-MX" w:eastAsia="es-MX"/>
              </w:rPr>
              <w:t xml:space="preserve">VI.- Evaluación de la Operación del Programa </w:t>
            </w:r>
          </w:p>
        </w:tc>
      </w:tr>
      <w:tr w:rsidR="004A69C9" w:rsidRPr="00E41FED" w:rsidTr="009F1F73">
        <w:tc>
          <w:tcPr>
            <w:tcW w:w="2230" w:type="dxa"/>
            <w:gridSpan w:val="2"/>
            <w:vMerge w:val="restart"/>
          </w:tcPr>
          <w:p w:rsidR="004A69C9" w:rsidRPr="006E2DB3" w:rsidRDefault="004A69C9" w:rsidP="009F1F73">
            <w:pPr>
              <w:rPr>
                <w:rFonts w:eastAsia="Calibri"/>
                <w:sz w:val="20"/>
                <w:szCs w:val="20"/>
                <w:lang w:val="es-MX" w:eastAsia="en-US"/>
              </w:rPr>
            </w:pPr>
            <w:r w:rsidRPr="006E2DB3">
              <w:rPr>
                <w:rFonts w:eastAsia="Calibri"/>
                <w:sz w:val="20"/>
                <w:szCs w:val="20"/>
                <w:lang w:val="es-MX" w:eastAsia="en-US"/>
              </w:rPr>
              <w:t>IV.1. Recursos Empleados</w:t>
            </w:r>
            <w:r>
              <w:rPr>
                <w:rFonts w:eastAsia="Calibri"/>
                <w:sz w:val="20"/>
                <w:szCs w:val="20"/>
                <w:lang w:val="es-MX" w:eastAsia="en-US"/>
              </w:rPr>
              <w:t xml:space="preserve"> por el Programa. </w:t>
            </w:r>
          </w:p>
        </w:tc>
        <w:tc>
          <w:tcPr>
            <w:tcW w:w="3265" w:type="dxa"/>
            <w:gridSpan w:val="4"/>
            <w:shd w:val="clear" w:color="auto" w:fill="D9D9D9"/>
          </w:tcPr>
          <w:p w:rsidR="004A69C9" w:rsidRPr="009146FD" w:rsidRDefault="004A69C9" w:rsidP="009F1F73">
            <w:pPr>
              <w:jc w:val="center"/>
              <w:rPr>
                <w:rFonts w:eastAsia="Calibri"/>
                <w:sz w:val="20"/>
                <w:szCs w:val="20"/>
                <w:lang w:eastAsia="en-US"/>
              </w:rPr>
            </w:pPr>
            <w:r>
              <w:rPr>
                <w:sz w:val="20"/>
                <w:szCs w:val="20"/>
              </w:rPr>
              <w:t>Recursos Humanos</w:t>
            </w:r>
          </w:p>
          <w:p w:rsidR="004A69C9" w:rsidRPr="009146FD" w:rsidRDefault="004A69C9" w:rsidP="009F1F73">
            <w:pPr>
              <w:jc w:val="both"/>
              <w:rPr>
                <w:rFonts w:eastAsia="Calibri"/>
                <w:sz w:val="20"/>
                <w:szCs w:val="20"/>
                <w:lang w:eastAsia="en-US"/>
              </w:rPr>
            </w:pPr>
            <w:r w:rsidRPr="009146FD">
              <w:rPr>
                <w:sz w:val="20"/>
                <w:szCs w:val="20"/>
              </w:rPr>
              <w:t>Para prestar este servicio contamos con:</w:t>
            </w:r>
          </w:p>
        </w:tc>
        <w:tc>
          <w:tcPr>
            <w:tcW w:w="4252" w:type="dxa"/>
            <w:gridSpan w:val="6"/>
            <w:shd w:val="clear" w:color="auto" w:fill="D9D9D9"/>
          </w:tcPr>
          <w:p w:rsidR="004A69C9" w:rsidRPr="009146FD" w:rsidRDefault="004A69C9" w:rsidP="009F1F73">
            <w:pPr>
              <w:jc w:val="center"/>
              <w:rPr>
                <w:rFonts w:eastAsia="Calibri"/>
                <w:sz w:val="20"/>
                <w:szCs w:val="20"/>
                <w:lang w:eastAsia="en-US"/>
              </w:rPr>
            </w:pPr>
            <w:r>
              <w:rPr>
                <w:sz w:val="20"/>
                <w:szCs w:val="20"/>
              </w:rPr>
              <w:t>Recursos Materiales</w:t>
            </w:r>
          </w:p>
          <w:p w:rsidR="004A69C9" w:rsidRPr="009146FD" w:rsidRDefault="004A69C9" w:rsidP="009F1F73">
            <w:pPr>
              <w:jc w:val="both"/>
              <w:rPr>
                <w:rFonts w:eastAsia="Calibri"/>
                <w:sz w:val="20"/>
                <w:szCs w:val="20"/>
                <w:lang w:eastAsia="en-US"/>
              </w:rPr>
            </w:pPr>
          </w:p>
        </w:tc>
      </w:tr>
      <w:tr w:rsidR="004A69C9" w:rsidRPr="00E41FED" w:rsidTr="009F1F73">
        <w:tc>
          <w:tcPr>
            <w:tcW w:w="2230" w:type="dxa"/>
            <w:gridSpan w:val="2"/>
            <w:vMerge/>
          </w:tcPr>
          <w:p w:rsidR="004A69C9" w:rsidRPr="006E2DB3" w:rsidRDefault="004A69C9" w:rsidP="009F1F73">
            <w:pPr>
              <w:rPr>
                <w:rFonts w:eastAsia="Calibri"/>
                <w:sz w:val="20"/>
                <w:szCs w:val="20"/>
                <w:lang w:val="es-MX" w:eastAsia="en-US"/>
              </w:rPr>
            </w:pPr>
          </w:p>
        </w:tc>
        <w:tc>
          <w:tcPr>
            <w:tcW w:w="2123" w:type="dxa"/>
            <w:gridSpan w:val="2"/>
          </w:tcPr>
          <w:p w:rsidR="004A69C9" w:rsidRPr="009146FD" w:rsidRDefault="004A69C9" w:rsidP="009F1F73">
            <w:pPr>
              <w:jc w:val="both"/>
              <w:rPr>
                <w:sz w:val="20"/>
                <w:szCs w:val="20"/>
              </w:rPr>
            </w:pPr>
            <w:r w:rsidRPr="009146FD">
              <w:rPr>
                <w:sz w:val="20"/>
                <w:szCs w:val="20"/>
              </w:rPr>
              <w:t>Personal de base</w:t>
            </w:r>
          </w:p>
        </w:tc>
        <w:tc>
          <w:tcPr>
            <w:tcW w:w="1142" w:type="dxa"/>
            <w:gridSpan w:val="2"/>
          </w:tcPr>
          <w:p w:rsidR="004A69C9" w:rsidRPr="009146FD" w:rsidRDefault="004A69C9" w:rsidP="009F1F73">
            <w:pPr>
              <w:jc w:val="center"/>
              <w:rPr>
                <w:sz w:val="20"/>
                <w:szCs w:val="20"/>
              </w:rPr>
            </w:pPr>
            <w:r>
              <w:rPr>
                <w:sz w:val="20"/>
                <w:szCs w:val="20"/>
              </w:rPr>
              <w:t>4</w:t>
            </w:r>
          </w:p>
        </w:tc>
        <w:tc>
          <w:tcPr>
            <w:tcW w:w="4252" w:type="dxa"/>
            <w:gridSpan w:val="6"/>
            <w:vMerge w:val="restart"/>
          </w:tcPr>
          <w:p w:rsidR="004A69C9" w:rsidRPr="00FF058D" w:rsidRDefault="004A69C9" w:rsidP="009F1F73">
            <w:pPr>
              <w:ind w:left="26"/>
              <w:jc w:val="both"/>
              <w:rPr>
                <w:sz w:val="20"/>
                <w:szCs w:val="20"/>
                <w:lang w:val="es-MX"/>
              </w:rPr>
            </w:pPr>
            <w:r>
              <w:rPr>
                <w:color w:val="000000"/>
                <w:sz w:val="20"/>
                <w:szCs w:val="20"/>
              </w:rPr>
              <w:t>La oficina de la Jefatura de Unidad Departamental de Atención a Grupos Vulnerables ubicada en Andador Sonora s/n edificio Morelos, Villa Milpa Alta.</w:t>
            </w:r>
          </w:p>
        </w:tc>
      </w:tr>
      <w:tr w:rsidR="004A69C9" w:rsidRPr="00E41FED" w:rsidTr="009F1F73">
        <w:tc>
          <w:tcPr>
            <w:tcW w:w="2230" w:type="dxa"/>
            <w:gridSpan w:val="2"/>
            <w:vMerge/>
          </w:tcPr>
          <w:p w:rsidR="004A69C9" w:rsidRPr="006E2DB3" w:rsidRDefault="004A69C9" w:rsidP="009F1F73">
            <w:pPr>
              <w:rPr>
                <w:rFonts w:eastAsia="Calibri"/>
                <w:sz w:val="20"/>
                <w:szCs w:val="20"/>
                <w:lang w:val="es-MX" w:eastAsia="en-US"/>
              </w:rPr>
            </w:pPr>
          </w:p>
        </w:tc>
        <w:tc>
          <w:tcPr>
            <w:tcW w:w="2123" w:type="dxa"/>
            <w:gridSpan w:val="2"/>
          </w:tcPr>
          <w:p w:rsidR="004A69C9" w:rsidRPr="009146FD" w:rsidRDefault="004A69C9" w:rsidP="009F1F73">
            <w:pPr>
              <w:jc w:val="both"/>
              <w:rPr>
                <w:sz w:val="20"/>
                <w:szCs w:val="20"/>
              </w:rPr>
            </w:pPr>
            <w:r w:rsidRPr="009146FD">
              <w:rPr>
                <w:sz w:val="20"/>
                <w:szCs w:val="20"/>
              </w:rPr>
              <w:t>Eventual extraordinario</w:t>
            </w:r>
          </w:p>
        </w:tc>
        <w:tc>
          <w:tcPr>
            <w:tcW w:w="1142" w:type="dxa"/>
            <w:gridSpan w:val="2"/>
          </w:tcPr>
          <w:p w:rsidR="004A69C9" w:rsidRPr="009146FD" w:rsidRDefault="004A69C9" w:rsidP="009F1F73">
            <w:pPr>
              <w:jc w:val="center"/>
              <w:rPr>
                <w:sz w:val="20"/>
                <w:szCs w:val="20"/>
              </w:rPr>
            </w:pPr>
            <w:r>
              <w:rPr>
                <w:sz w:val="20"/>
                <w:szCs w:val="20"/>
              </w:rPr>
              <w:t>4</w:t>
            </w:r>
          </w:p>
        </w:tc>
        <w:tc>
          <w:tcPr>
            <w:tcW w:w="4252" w:type="dxa"/>
            <w:gridSpan w:val="6"/>
            <w:vMerge/>
          </w:tcPr>
          <w:p w:rsidR="004A69C9" w:rsidRPr="009146FD" w:rsidRDefault="004A69C9" w:rsidP="009F1F73">
            <w:pPr>
              <w:jc w:val="center"/>
              <w:rPr>
                <w:sz w:val="20"/>
                <w:szCs w:val="20"/>
              </w:rPr>
            </w:pPr>
          </w:p>
        </w:tc>
      </w:tr>
      <w:tr w:rsidR="004A69C9" w:rsidRPr="00E41FED" w:rsidTr="009F1F73">
        <w:tc>
          <w:tcPr>
            <w:tcW w:w="2230" w:type="dxa"/>
            <w:gridSpan w:val="2"/>
            <w:vMerge/>
          </w:tcPr>
          <w:p w:rsidR="004A69C9" w:rsidRPr="006E2DB3" w:rsidRDefault="004A69C9" w:rsidP="009F1F73">
            <w:pPr>
              <w:rPr>
                <w:rFonts w:eastAsia="Calibri"/>
                <w:sz w:val="20"/>
                <w:szCs w:val="20"/>
                <w:lang w:val="es-MX" w:eastAsia="en-US"/>
              </w:rPr>
            </w:pPr>
          </w:p>
        </w:tc>
        <w:tc>
          <w:tcPr>
            <w:tcW w:w="2123" w:type="dxa"/>
            <w:gridSpan w:val="2"/>
          </w:tcPr>
          <w:p w:rsidR="004A69C9" w:rsidRPr="009146FD" w:rsidRDefault="004A69C9" w:rsidP="009F1F73">
            <w:pPr>
              <w:jc w:val="both"/>
              <w:rPr>
                <w:sz w:val="20"/>
                <w:szCs w:val="20"/>
              </w:rPr>
            </w:pPr>
            <w:r w:rsidRPr="009146FD">
              <w:rPr>
                <w:sz w:val="20"/>
                <w:szCs w:val="20"/>
              </w:rPr>
              <w:t>Honorarios</w:t>
            </w:r>
          </w:p>
        </w:tc>
        <w:tc>
          <w:tcPr>
            <w:tcW w:w="1142" w:type="dxa"/>
            <w:gridSpan w:val="2"/>
          </w:tcPr>
          <w:p w:rsidR="004A69C9" w:rsidRPr="009146FD" w:rsidRDefault="004A69C9" w:rsidP="009F1F73">
            <w:pPr>
              <w:jc w:val="center"/>
              <w:rPr>
                <w:sz w:val="20"/>
                <w:szCs w:val="20"/>
              </w:rPr>
            </w:pPr>
            <w:r>
              <w:rPr>
                <w:sz w:val="20"/>
                <w:szCs w:val="20"/>
              </w:rPr>
              <w:t>2</w:t>
            </w:r>
          </w:p>
        </w:tc>
        <w:tc>
          <w:tcPr>
            <w:tcW w:w="4252" w:type="dxa"/>
            <w:gridSpan w:val="6"/>
            <w:vMerge/>
          </w:tcPr>
          <w:p w:rsidR="004A69C9" w:rsidRPr="009146FD" w:rsidRDefault="004A69C9" w:rsidP="009F1F73">
            <w:pPr>
              <w:jc w:val="center"/>
              <w:rPr>
                <w:sz w:val="20"/>
                <w:szCs w:val="20"/>
              </w:rPr>
            </w:pPr>
          </w:p>
        </w:tc>
      </w:tr>
      <w:tr w:rsidR="004A69C9" w:rsidRPr="00E41FED" w:rsidTr="009F1F73">
        <w:tc>
          <w:tcPr>
            <w:tcW w:w="2230" w:type="dxa"/>
            <w:gridSpan w:val="2"/>
            <w:vMerge/>
          </w:tcPr>
          <w:p w:rsidR="004A69C9" w:rsidRPr="006E2DB3" w:rsidRDefault="004A69C9" w:rsidP="009F1F73">
            <w:pPr>
              <w:rPr>
                <w:rFonts w:eastAsia="Calibri"/>
                <w:sz w:val="20"/>
                <w:szCs w:val="20"/>
                <w:lang w:val="es-MX" w:eastAsia="en-US"/>
              </w:rPr>
            </w:pPr>
          </w:p>
        </w:tc>
        <w:tc>
          <w:tcPr>
            <w:tcW w:w="7517" w:type="dxa"/>
            <w:gridSpan w:val="10"/>
          </w:tcPr>
          <w:p w:rsidR="004A69C9" w:rsidRPr="00B06600" w:rsidRDefault="004A69C9" w:rsidP="009F1F73">
            <w:pPr>
              <w:jc w:val="both"/>
              <w:rPr>
                <w:sz w:val="20"/>
                <w:szCs w:val="20"/>
              </w:rPr>
            </w:pPr>
            <w:r w:rsidRPr="00B06600">
              <w:rPr>
                <w:sz w:val="20"/>
                <w:szCs w:val="20"/>
              </w:rPr>
              <w:t>FINANCIEROS</w:t>
            </w:r>
          </w:p>
          <w:p w:rsidR="004A69C9" w:rsidRPr="009146FD" w:rsidRDefault="004A69C9" w:rsidP="009F1F73">
            <w:pPr>
              <w:rPr>
                <w:sz w:val="20"/>
                <w:szCs w:val="20"/>
              </w:rPr>
            </w:pPr>
            <w:r w:rsidRPr="009146FD">
              <w:rPr>
                <w:sz w:val="20"/>
                <w:szCs w:val="20"/>
              </w:rPr>
              <w:t>Para el ejercicio 201</w:t>
            </w:r>
            <w:r>
              <w:rPr>
                <w:sz w:val="20"/>
                <w:szCs w:val="20"/>
              </w:rPr>
              <w:t>3</w:t>
            </w:r>
            <w:r w:rsidRPr="009146FD">
              <w:rPr>
                <w:sz w:val="20"/>
                <w:szCs w:val="20"/>
              </w:rPr>
              <w:t xml:space="preserve"> se </w:t>
            </w:r>
            <w:r>
              <w:rPr>
                <w:sz w:val="20"/>
                <w:szCs w:val="20"/>
              </w:rPr>
              <w:t>asignó</w:t>
            </w:r>
            <w:r w:rsidRPr="009146FD">
              <w:rPr>
                <w:sz w:val="20"/>
                <w:szCs w:val="20"/>
              </w:rPr>
              <w:t xml:space="preserve"> un presupuesto fiscal de $ 4</w:t>
            </w:r>
            <w:r>
              <w:rPr>
                <w:sz w:val="20"/>
                <w:szCs w:val="20"/>
              </w:rPr>
              <w:t>32</w:t>
            </w:r>
            <w:r w:rsidRPr="009146FD">
              <w:rPr>
                <w:sz w:val="20"/>
                <w:szCs w:val="20"/>
              </w:rPr>
              <w:t xml:space="preserve">,000.00 (Cuatrocientos </w:t>
            </w:r>
            <w:r>
              <w:rPr>
                <w:sz w:val="20"/>
                <w:szCs w:val="20"/>
              </w:rPr>
              <w:t xml:space="preserve">Treinta y Dos </w:t>
            </w:r>
            <w:r w:rsidRPr="009146FD">
              <w:rPr>
                <w:sz w:val="20"/>
                <w:szCs w:val="20"/>
              </w:rPr>
              <w:t>Mil Pesos 00/100 M.N.)</w:t>
            </w:r>
            <w:r>
              <w:rPr>
                <w:sz w:val="20"/>
                <w:szCs w:val="20"/>
              </w:rPr>
              <w:t>.</w:t>
            </w:r>
          </w:p>
        </w:tc>
      </w:tr>
      <w:tr w:rsidR="004A69C9" w:rsidRPr="00E41FED" w:rsidTr="009F1F73">
        <w:tc>
          <w:tcPr>
            <w:tcW w:w="2230" w:type="dxa"/>
            <w:gridSpan w:val="2"/>
          </w:tcPr>
          <w:p w:rsidR="004A69C9" w:rsidRPr="006E2DB3" w:rsidRDefault="004A69C9" w:rsidP="009F1F73">
            <w:pPr>
              <w:rPr>
                <w:rFonts w:eastAsia="Calibri"/>
                <w:sz w:val="20"/>
                <w:szCs w:val="20"/>
                <w:lang w:val="es-MX" w:eastAsia="en-US"/>
              </w:rPr>
            </w:pPr>
            <w:r>
              <w:rPr>
                <w:rFonts w:eastAsia="Calibri"/>
                <w:sz w:val="20"/>
                <w:szCs w:val="20"/>
                <w:lang w:val="es-MX" w:eastAsia="en-US"/>
              </w:rPr>
              <w:t xml:space="preserve">IV.2. Congruencia de la Operación del Programa con su diseño. </w:t>
            </w:r>
          </w:p>
        </w:tc>
        <w:tc>
          <w:tcPr>
            <w:tcW w:w="7517" w:type="dxa"/>
            <w:gridSpan w:val="10"/>
          </w:tcPr>
          <w:p w:rsidR="004A69C9" w:rsidRPr="006E2DB3" w:rsidRDefault="004A69C9" w:rsidP="009F1F73">
            <w:pPr>
              <w:autoSpaceDE w:val="0"/>
              <w:autoSpaceDN w:val="0"/>
              <w:adjustRightInd w:val="0"/>
              <w:jc w:val="both"/>
              <w:rPr>
                <w:rFonts w:eastAsia="Calibri"/>
                <w:sz w:val="20"/>
                <w:szCs w:val="20"/>
                <w:lang w:val="es-MX" w:eastAsia="en-US"/>
              </w:rPr>
            </w:pPr>
            <w:r w:rsidRPr="00B94296">
              <w:rPr>
                <w:sz w:val="20"/>
                <w:szCs w:val="20"/>
              </w:rPr>
              <w:t>Se tiene congruencia con el programa específico y se opera de acuerdo a las reglas de Operación publicadas el 31 de Enero del 2013 en la Gaceta Oficial de</w:t>
            </w:r>
            <w:r>
              <w:rPr>
                <w:sz w:val="20"/>
                <w:szCs w:val="20"/>
              </w:rPr>
              <w:t>l Distrito Federal No. 1534 bis</w:t>
            </w:r>
            <w:r w:rsidRPr="00B94296">
              <w:rPr>
                <w:sz w:val="20"/>
                <w:szCs w:val="20"/>
              </w:rPr>
              <w:t>.</w:t>
            </w:r>
          </w:p>
        </w:tc>
      </w:tr>
      <w:tr w:rsidR="004A69C9" w:rsidRPr="00E41FED" w:rsidTr="009F1F73">
        <w:tc>
          <w:tcPr>
            <w:tcW w:w="2230" w:type="dxa"/>
            <w:gridSpan w:val="2"/>
          </w:tcPr>
          <w:p w:rsidR="004A69C9" w:rsidRPr="006E2DB3" w:rsidRDefault="004A69C9" w:rsidP="009F1F73">
            <w:pPr>
              <w:rPr>
                <w:rFonts w:eastAsia="Calibri"/>
                <w:sz w:val="20"/>
                <w:szCs w:val="20"/>
                <w:lang w:val="es-MX" w:eastAsia="en-US"/>
              </w:rPr>
            </w:pPr>
            <w:r w:rsidRPr="006E2DB3">
              <w:rPr>
                <w:rFonts w:eastAsia="Calibri"/>
                <w:sz w:val="20"/>
                <w:szCs w:val="20"/>
                <w:lang w:val="es-MX" w:eastAsia="en-US"/>
              </w:rPr>
              <w:t>IV.3. Seguimiento del Padrón de Beneficiarios o Derechohabientes</w:t>
            </w:r>
          </w:p>
        </w:tc>
        <w:tc>
          <w:tcPr>
            <w:tcW w:w="7517" w:type="dxa"/>
            <w:gridSpan w:val="10"/>
          </w:tcPr>
          <w:p w:rsidR="004A69C9" w:rsidRDefault="004A69C9" w:rsidP="009F1F73">
            <w:pPr>
              <w:autoSpaceDE w:val="0"/>
              <w:autoSpaceDN w:val="0"/>
              <w:adjustRightInd w:val="0"/>
              <w:jc w:val="both"/>
              <w:rPr>
                <w:color w:val="000000"/>
                <w:sz w:val="20"/>
                <w:szCs w:val="20"/>
              </w:rPr>
            </w:pPr>
            <w:r>
              <w:rPr>
                <w:color w:val="000000"/>
                <w:sz w:val="20"/>
                <w:szCs w:val="20"/>
              </w:rPr>
              <w:t>Para el seguimiento, se cuenta con expedientes que conforman el padrón de beneficiarios, la hoja de registro para la entrega de la ayuda económica que cuenta con rubrica y huella digital.</w:t>
            </w:r>
          </w:p>
          <w:p w:rsidR="004A69C9" w:rsidRPr="00B83CA8" w:rsidRDefault="004A69C9" w:rsidP="009F1F73">
            <w:pPr>
              <w:autoSpaceDE w:val="0"/>
              <w:autoSpaceDN w:val="0"/>
              <w:adjustRightInd w:val="0"/>
              <w:jc w:val="both"/>
              <w:rPr>
                <w:rFonts w:eastAsia="Calibri"/>
                <w:sz w:val="20"/>
                <w:szCs w:val="20"/>
                <w:lang w:val="es-MX" w:eastAsia="en-US"/>
              </w:rPr>
            </w:pPr>
            <w:r>
              <w:rPr>
                <w:color w:val="000000"/>
                <w:sz w:val="20"/>
                <w:szCs w:val="20"/>
              </w:rPr>
              <w:t>La Contraloría Interna se encarga de su revisión aleatoria.</w:t>
            </w:r>
          </w:p>
        </w:tc>
      </w:tr>
      <w:tr w:rsidR="004A69C9" w:rsidRPr="006E2DB3" w:rsidTr="009F1F73">
        <w:tc>
          <w:tcPr>
            <w:tcW w:w="2230" w:type="dxa"/>
            <w:gridSpan w:val="2"/>
          </w:tcPr>
          <w:p w:rsidR="004A69C9" w:rsidRPr="006E2DB3" w:rsidRDefault="004A69C9" w:rsidP="009F1F73">
            <w:pPr>
              <w:rPr>
                <w:rFonts w:eastAsia="Calibri"/>
                <w:sz w:val="20"/>
                <w:szCs w:val="20"/>
                <w:lang w:val="es-MX" w:eastAsia="en-US"/>
              </w:rPr>
            </w:pPr>
            <w:r w:rsidRPr="006E2DB3">
              <w:rPr>
                <w:rFonts w:eastAsia="Calibri"/>
                <w:sz w:val="20"/>
                <w:szCs w:val="20"/>
                <w:lang w:val="es-MX" w:eastAsia="en-US"/>
              </w:rPr>
              <w:t xml:space="preserve">IV.4. Cobertura </w:t>
            </w:r>
          </w:p>
        </w:tc>
        <w:tc>
          <w:tcPr>
            <w:tcW w:w="7517" w:type="dxa"/>
            <w:gridSpan w:val="10"/>
          </w:tcPr>
          <w:p w:rsidR="004A69C9" w:rsidRPr="006E2DB3" w:rsidRDefault="004A69C9" w:rsidP="009F1F73">
            <w:pPr>
              <w:suppressAutoHyphens w:val="0"/>
              <w:autoSpaceDE w:val="0"/>
              <w:autoSpaceDN w:val="0"/>
              <w:adjustRightInd w:val="0"/>
              <w:jc w:val="both"/>
              <w:rPr>
                <w:rFonts w:eastAsia="Calibri"/>
                <w:sz w:val="20"/>
                <w:szCs w:val="20"/>
                <w:lang w:val="es-MX" w:eastAsia="en-US"/>
              </w:rPr>
            </w:pPr>
            <w:r>
              <w:rPr>
                <w:color w:val="000000"/>
                <w:sz w:val="20"/>
                <w:szCs w:val="20"/>
              </w:rPr>
              <w:t>Para el ejercicio 2013 se ha proyectado proporcionar ayuda económica a setenta y dos personas con discapacidad, preferentemente de escasos recursos económicos.</w:t>
            </w:r>
          </w:p>
        </w:tc>
      </w:tr>
      <w:tr w:rsidR="004A69C9" w:rsidRPr="006E2DB3" w:rsidTr="009F1F73">
        <w:tc>
          <w:tcPr>
            <w:tcW w:w="2230" w:type="dxa"/>
            <w:gridSpan w:val="2"/>
          </w:tcPr>
          <w:p w:rsidR="004A69C9" w:rsidRPr="006E2DB3" w:rsidRDefault="004A69C9" w:rsidP="009F1F73">
            <w:pPr>
              <w:rPr>
                <w:rFonts w:eastAsia="Calibri"/>
                <w:sz w:val="20"/>
                <w:szCs w:val="20"/>
                <w:lang w:val="es-MX" w:eastAsia="en-US"/>
              </w:rPr>
            </w:pPr>
            <w:r w:rsidRPr="006E2DB3">
              <w:rPr>
                <w:rFonts w:eastAsia="Calibri"/>
                <w:sz w:val="20"/>
                <w:szCs w:val="20"/>
                <w:lang w:val="es-MX" w:eastAsia="en-US"/>
              </w:rPr>
              <w:t>IV.5. Mecanismos de Participación Ciudadana</w:t>
            </w:r>
          </w:p>
        </w:tc>
        <w:tc>
          <w:tcPr>
            <w:tcW w:w="7517" w:type="dxa"/>
            <w:gridSpan w:val="10"/>
          </w:tcPr>
          <w:p w:rsidR="004A69C9" w:rsidRDefault="004A69C9" w:rsidP="009F1F73">
            <w:pPr>
              <w:autoSpaceDE w:val="0"/>
              <w:autoSpaceDN w:val="0"/>
              <w:adjustRightInd w:val="0"/>
              <w:jc w:val="both"/>
              <w:rPr>
                <w:color w:val="000000"/>
                <w:sz w:val="20"/>
                <w:szCs w:val="20"/>
              </w:rPr>
            </w:pPr>
            <w:r w:rsidRPr="00B34C77">
              <w:rPr>
                <w:color w:val="000000"/>
                <w:sz w:val="20"/>
                <w:szCs w:val="20"/>
              </w:rPr>
              <w:t>Con el fin de promover los procesos de transparencia en la instrumentación, operación, selección y evaluación de las etapas del programa, que permitan su mejora, ajustes sustantivos o cambios , se podrá invitar a las y los Contralores Ciudadanos de la Red de Contralores Ciudadanos de la Contraloría General del Distrito Federal, así como a las y los ciudadanos e integrantes de los Consejos del Pueblo que de manera individual o colectiva lo soliciten por escrito a la Jefatura de Unidad Departamental de Atención a Grupos Vulnerables.</w:t>
            </w:r>
          </w:p>
        </w:tc>
      </w:tr>
      <w:tr w:rsidR="004A69C9" w:rsidRPr="006E2DB3" w:rsidTr="009F1F73">
        <w:tc>
          <w:tcPr>
            <w:tcW w:w="2230" w:type="dxa"/>
            <w:gridSpan w:val="2"/>
            <w:vMerge w:val="restart"/>
          </w:tcPr>
          <w:p w:rsidR="004A69C9" w:rsidRPr="006E2DB3" w:rsidRDefault="004A69C9" w:rsidP="009F1F73">
            <w:pPr>
              <w:rPr>
                <w:rFonts w:eastAsia="Calibri"/>
                <w:sz w:val="20"/>
                <w:szCs w:val="20"/>
                <w:lang w:val="es-MX" w:eastAsia="en-US"/>
              </w:rPr>
            </w:pPr>
            <w:r>
              <w:rPr>
                <w:rFonts w:eastAsia="Calibri"/>
                <w:sz w:val="20"/>
                <w:szCs w:val="20"/>
                <w:lang w:val="es-MX" w:eastAsia="en-US"/>
              </w:rPr>
              <w:t>I</w:t>
            </w:r>
            <w:r w:rsidRPr="00DB5330">
              <w:rPr>
                <w:rFonts w:eastAsia="Calibri"/>
                <w:sz w:val="20"/>
                <w:szCs w:val="20"/>
                <w:lang w:val="es-MX" w:eastAsia="en-US"/>
              </w:rPr>
              <w:t>V.</w:t>
            </w:r>
            <w:r>
              <w:rPr>
                <w:rFonts w:eastAsia="Calibri"/>
                <w:sz w:val="20"/>
                <w:szCs w:val="20"/>
                <w:lang w:val="es-MX" w:eastAsia="en-US"/>
              </w:rPr>
              <w:t>6. Matriz FODA de la Operación</w:t>
            </w:r>
            <w:r w:rsidRPr="00DB5330">
              <w:rPr>
                <w:rFonts w:eastAsia="Calibri"/>
                <w:sz w:val="20"/>
                <w:szCs w:val="20"/>
                <w:lang w:val="es-MX" w:eastAsia="en-US"/>
              </w:rPr>
              <w:t xml:space="preserve"> del Programa</w:t>
            </w:r>
          </w:p>
        </w:tc>
        <w:tc>
          <w:tcPr>
            <w:tcW w:w="7517" w:type="dxa"/>
            <w:gridSpan w:val="10"/>
          </w:tcPr>
          <w:p w:rsidR="004A69C9" w:rsidRDefault="004A69C9" w:rsidP="009F1F73">
            <w:pPr>
              <w:suppressAutoHyphens w:val="0"/>
              <w:autoSpaceDE w:val="0"/>
              <w:autoSpaceDN w:val="0"/>
              <w:adjustRightInd w:val="0"/>
              <w:jc w:val="center"/>
              <w:rPr>
                <w:color w:val="000000"/>
                <w:sz w:val="20"/>
                <w:szCs w:val="20"/>
              </w:rPr>
            </w:pPr>
            <w:r w:rsidRPr="006E2DB3">
              <w:rPr>
                <w:rFonts w:eastAsia="Calibri"/>
                <w:sz w:val="20"/>
                <w:szCs w:val="20"/>
                <w:lang w:val="es-MX" w:eastAsia="en-US"/>
              </w:rPr>
              <w:t>Análisis Interno</w:t>
            </w:r>
          </w:p>
        </w:tc>
      </w:tr>
      <w:tr w:rsidR="004A69C9" w:rsidRPr="006E2DB3" w:rsidTr="009F1F73">
        <w:tc>
          <w:tcPr>
            <w:tcW w:w="2230" w:type="dxa"/>
            <w:gridSpan w:val="2"/>
            <w:vMerge/>
          </w:tcPr>
          <w:p w:rsidR="004A69C9" w:rsidRPr="006E2DB3" w:rsidRDefault="004A69C9" w:rsidP="009F1F73">
            <w:pPr>
              <w:rPr>
                <w:rFonts w:eastAsia="Calibri"/>
                <w:sz w:val="20"/>
                <w:szCs w:val="20"/>
                <w:lang w:val="es-MX" w:eastAsia="en-US"/>
              </w:rPr>
            </w:pPr>
          </w:p>
        </w:tc>
        <w:tc>
          <w:tcPr>
            <w:tcW w:w="3365" w:type="dxa"/>
            <w:gridSpan w:val="6"/>
            <w:shd w:val="clear" w:color="auto" w:fill="D9D9D9"/>
            <w:vAlign w:val="center"/>
          </w:tcPr>
          <w:p w:rsidR="004A69C9" w:rsidRDefault="004A69C9" w:rsidP="009F1F73">
            <w:pPr>
              <w:jc w:val="center"/>
              <w:rPr>
                <w:color w:val="000000"/>
                <w:sz w:val="20"/>
                <w:szCs w:val="20"/>
                <w:lang w:eastAsia="es-ES"/>
              </w:rPr>
            </w:pPr>
            <w:r>
              <w:rPr>
                <w:color w:val="000000"/>
                <w:sz w:val="20"/>
                <w:szCs w:val="20"/>
                <w:lang w:eastAsia="es-ES"/>
              </w:rPr>
              <w:t>Fortalezas</w:t>
            </w:r>
          </w:p>
        </w:tc>
        <w:tc>
          <w:tcPr>
            <w:tcW w:w="4152" w:type="dxa"/>
            <w:gridSpan w:val="4"/>
            <w:shd w:val="clear" w:color="auto" w:fill="D9D9D9"/>
            <w:vAlign w:val="center"/>
          </w:tcPr>
          <w:p w:rsidR="004A69C9" w:rsidRDefault="004A69C9" w:rsidP="009F1F73">
            <w:pPr>
              <w:autoSpaceDE w:val="0"/>
              <w:autoSpaceDN w:val="0"/>
              <w:adjustRightInd w:val="0"/>
              <w:jc w:val="center"/>
              <w:rPr>
                <w:color w:val="000000"/>
                <w:sz w:val="20"/>
                <w:szCs w:val="20"/>
                <w:lang w:eastAsia="es-ES"/>
              </w:rPr>
            </w:pPr>
            <w:r>
              <w:rPr>
                <w:color w:val="000000"/>
                <w:sz w:val="20"/>
                <w:szCs w:val="20"/>
                <w:lang w:eastAsia="es-ES"/>
              </w:rPr>
              <w:t>Debilidades</w:t>
            </w:r>
          </w:p>
        </w:tc>
      </w:tr>
      <w:tr w:rsidR="004A69C9" w:rsidRPr="006E2DB3" w:rsidTr="009F1F73">
        <w:tc>
          <w:tcPr>
            <w:tcW w:w="2230" w:type="dxa"/>
            <w:gridSpan w:val="2"/>
            <w:vMerge/>
          </w:tcPr>
          <w:p w:rsidR="004A69C9" w:rsidRPr="006E2DB3" w:rsidRDefault="004A69C9" w:rsidP="009F1F73">
            <w:pPr>
              <w:rPr>
                <w:rFonts w:eastAsia="Calibri"/>
                <w:sz w:val="20"/>
                <w:szCs w:val="20"/>
                <w:lang w:val="es-MX" w:eastAsia="en-US"/>
              </w:rPr>
            </w:pPr>
          </w:p>
        </w:tc>
        <w:tc>
          <w:tcPr>
            <w:tcW w:w="3365" w:type="dxa"/>
            <w:gridSpan w:val="6"/>
            <w:vAlign w:val="center"/>
          </w:tcPr>
          <w:p w:rsidR="004A69C9" w:rsidRDefault="004A69C9" w:rsidP="009F1F73">
            <w:pPr>
              <w:jc w:val="both"/>
              <w:rPr>
                <w:color w:val="000000"/>
                <w:sz w:val="20"/>
                <w:szCs w:val="20"/>
                <w:lang w:eastAsia="es-ES"/>
              </w:rPr>
            </w:pPr>
            <w:r>
              <w:rPr>
                <w:color w:val="000000"/>
                <w:sz w:val="20"/>
                <w:szCs w:val="20"/>
              </w:rPr>
              <w:t>Mejorar su nivel de vida e integración en su entorno social.</w:t>
            </w:r>
          </w:p>
        </w:tc>
        <w:tc>
          <w:tcPr>
            <w:tcW w:w="4152" w:type="dxa"/>
            <w:gridSpan w:val="4"/>
            <w:vAlign w:val="center"/>
          </w:tcPr>
          <w:p w:rsidR="004A69C9" w:rsidRDefault="004A69C9" w:rsidP="009F1F73">
            <w:pPr>
              <w:autoSpaceDE w:val="0"/>
              <w:autoSpaceDN w:val="0"/>
              <w:adjustRightInd w:val="0"/>
              <w:jc w:val="both"/>
              <w:rPr>
                <w:color w:val="000000"/>
                <w:sz w:val="20"/>
                <w:szCs w:val="20"/>
                <w:lang w:eastAsia="es-ES"/>
              </w:rPr>
            </w:pPr>
            <w:r>
              <w:rPr>
                <w:color w:val="000000"/>
                <w:sz w:val="20"/>
                <w:szCs w:val="20"/>
              </w:rPr>
              <w:t>La inexistencia de una relación sana entre familiares del beneficiario.</w:t>
            </w:r>
          </w:p>
        </w:tc>
      </w:tr>
      <w:tr w:rsidR="004A69C9" w:rsidRPr="006E2DB3" w:rsidTr="009F1F73">
        <w:tc>
          <w:tcPr>
            <w:tcW w:w="2230" w:type="dxa"/>
            <w:gridSpan w:val="2"/>
            <w:vMerge/>
          </w:tcPr>
          <w:p w:rsidR="004A69C9" w:rsidRPr="006E2DB3" w:rsidRDefault="004A69C9" w:rsidP="009F1F73">
            <w:pPr>
              <w:rPr>
                <w:rFonts w:eastAsia="Calibri"/>
                <w:sz w:val="20"/>
                <w:szCs w:val="20"/>
                <w:lang w:val="es-MX" w:eastAsia="en-US"/>
              </w:rPr>
            </w:pPr>
          </w:p>
        </w:tc>
        <w:tc>
          <w:tcPr>
            <w:tcW w:w="7517" w:type="dxa"/>
            <w:gridSpan w:val="10"/>
            <w:vAlign w:val="center"/>
          </w:tcPr>
          <w:p w:rsidR="004A69C9" w:rsidRDefault="004A69C9" w:rsidP="009F1F73">
            <w:pPr>
              <w:autoSpaceDE w:val="0"/>
              <w:autoSpaceDN w:val="0"/>
              <w:adjustRightInd w:val="0"/>
              <w:jc w:val="center"/>
              <w:rPr>
                <w:color w:val="000000"/>
                <w:sz w:val="20"/>
                <w:szCs w:val="20"/>
              </w:rPr>
            </w:pPr>
            <w:r w:rsidRPr="006E2DB3">
              <w:rPr>
                <w:rFonts w:eastAsia="Calibri"/>
                <w:sz w:val="20"/>
                <w:szCs w:val="20"/>
                <w:lang w:val="es-MX" w:eastAsia="en-US"/>
              </w:rPr>
              <w:t>Análisis</w:t>
            </w:r>
            <w:r>
              <w:rPr>
                <w:rFonts w:eastAsia="Calibri"/>
                <w:sz w:val="20"/>
                <w:szCs w:val="20"/>
                <w:lang w:val="es-MX" w:eastAsia="en-US"/>
              </w:rPr>
              <w:t xml:space="preserve"> </w:t>
            </w:r>
            <w:r w:rsidRPr="006E2DB3">
              <w:rPr>
                <w:rFonts w:eastAsia="Calibri"/>
                <w:sz w:val="20"/>
                <w:szCs w:val="20"/>
                <w:lang w:val="es-MX" w:eastAsia="en-US"/>
              </w:rPr>
              <w:t>Externo</w:t>
            </w:r>
          </w:p>
        </w:tc>
      </w:tr>
      <w:tr w:rsidR="004A69C9" w:rsidRPr="006E2DB3" w:rsidTr="009F1F73">
        <w:tc>
          <w:tcPr>
            <w:tcW w:w="2230" w:type="dxa"/>
            <w:gridSpan w:val="2"/>
            <w:vMerge w:val="restart"/>
          </w:tcPr>
          <w:p w:rsidR="004A69C9" w:rsidRPr="00546AAD" w:rsidRDefault="004A69C9" w:rsidP="009F1F73">
            <w:pPr>
              <w:rPr>
                <w:rFonts w:eastAsia="Calibri"/>
                <w:sz w:val="20"/>
                <w:szCs w:val="20"/>
                <w:lang w:val="es-MX" w:eastAsia="en-US"/>
              </w:rPr>
            </w:pPr>
          </w:p>
        </w:tc>
        <w:tc>
          <w:tcPr>
            <w:tcW w:w="3365" w:type="dxa"/>
            <w:gridSpan w:val="6"/>
            <w:shd w:val="clear" w:color="auto" w:fill="D9D9D9"/>
            <w:vAlign w:val="center"/>
          </w:tcPr>
          <w:p w:rsidR="004A69C9" w:rsidRPr="006E2DB3" w:rsidRDefault="004A69C9" w:rsidP="009F1F73">
            <w:pPr>
              <w:spacing w:line="336" w:lineRule="atLeast"/>
              <w:jc w:val="center"/>
              <w:rPr>
                <w:rFonts w:eastAsia="Calibri"/>
                <w:sz w:val="20"/>
                <w:szCs w:val="20"/>
                <w:lang w:val="es-MX" w:eastAsia="en-US"/>
              </w:rPr>
            </w:pPr>
            <w:r w:rsidRPr="006E2DB3">
              <w:rPr>
                <w:rFonts w:eastAsia="Calibri"/>
                <w:sz w:val="20"/>
                <w:szCs w:val="20"/>
                <w:lang w:val="es-MX" w:eastAsia="en-US"/>
              </w:rPr>
              <w:t>Oportunidades</w:t>
            </w:r>
          </w:p>
        </w:tc>
        <w:tc>
          <w:tcPr>
            <w:tcW w:w="4152" w:type="dxa"/>
            <w:gridSpan w:val="4"/>
            <w:shd w:val="clear" w:color="auto" w:fill="D9D9D9"/>
            <w:vAlign w:val="center"/>
          </w:tcPr>
          <w:p w:rsidR="004A69C9" w:rsidRPr="006E2DB3" w:rsidRDefault="004A69C9" w:rsidP="009F1F73">
            <w:pPr>
              <w:spacing w:line="336" w:lineRule="atLeast"/>
              <w:jc w:val="center"/>
              <w:rPr>
                <w:rFonts w:eastAsia="Calibri"/>
                <w:sz w:val="20"/>
                <w:szCs w:val="20"/>
                <w:lang w:val="es-MX" w:eastAsia="en-US"/>
              </w:rPr>
            </w:pPr>
            <w:r w:rsidRPr="006E2DB3">
              <w:rPr>
                <w:rFonts w:eastAsia="Calibri"/>
                <w:sz w:val="20"/>
                <w:szCs w:val="20"/>
                <w:lang w:val="es-MX" w:eastAsia="en-US"/>
              </w:rPr>
              <w:t>Amenazas</w:t>
            </w:r>
          </w:p>
        </w:tc>
      </w:tr>
      <w:tr w:rsidR="004A69C9" w:rsidRPr="006E2DB3" w:rsidTr="009F1F73">
        <w:tc>
          <w:tcPr>
            <w:tcW w:w="2230" w:type="dxa"/>
            <w:gridSpan w:val="2"/>
            <w:vMerge/>
          </w:tcPr>
          <w:p w:rsidR="004A69C9" w:rsidRPr="00CB6106" w:rsidRDefault="004A69C9" w:rsidP="009F1F73">
            <w:pPr>
              <w:rPr>
                <w:rFonts w:eastAsia="Calibri"/>
                <w:sz w:val="20"/>
                <w:szCs w:val="20"/>
                <w:lang w:val="es-MX" w:eastAsia="en-US"/>
              </w:rPr>
            </w:pPr>
          </w:p>
        </w:tc>
        <w:tc>
          <w:tcPr>
            <w:tcW w:w="3365" w:type="dxa"/>
            <w:gridSpan w:val="6"/>
            <w:vAlign w:val="center"/>
          </w:tcPr>
          <w:p w:rsidR="004A69C9" w:rsidRDefault="004A69C9" w:rsidP="009F1F73">
            <w:pPr>
              <w:jc w:val="both"/>
              <w:rPr>
                <w:color w:val="000000"/>
                <w:sz w:val="20"/>
                <w:szCs w:val="20"/>
                <w:lang w:eastAsia="es-ES"/>
              </w:rPr>
            </w:pPr>
            <w:r>
              <w:rPr>
                <w:color w:val="000000"/>
                <w:sz w:val="20"/>
                <w:szCs w:val="20"/>
              </w:rPr>
              <w:t>Incluirlos en métodos de enseñanza especial.</w:t>
            </w:r>
          </w:p>
        </w:tc>
        <w:tc>
          <w:tcPr>
            <w:tcW w:w="4152" w:type="dxa"/>
            <w:gridSpan w:val="4"/>
            <w:vAlign w:val="center"/>
          </w:tcPr>
          <w:p w:rsidR="004A69C9" w:rsidRDefault="004A69C9" w:rsidP="009F1F73">
            <w:pPr>
              <w:jc w:val="both"/>
              <w:rPr>
                <w:color w:val="000000"/>
                <w:sz w:val="20"/>
                <w:szCs w:val="20"/>
                <w:lang w:eastAsia="es-ES"/>
              </w:rPr>
            </w:pPr>
            <w:r>
              <w:rPr>
                <w:color w:val="000000"/>
                <w:sz w:val="20"/>
                <w:szCs w:val="20"/>
              </w:rPr>
              <w:t>La lejanía de un centro de enseñanza para asistir y la falta de disposición de los familiares.</w:t>
            </w:r>
          </w:p>
        </w:tc>
      </w:tr>
      <w:tr w:rsidR="004A69C9" w:rsidRPr="006E2DB3" w:rsidTr="009F1F73">
        <w:tc>
          <w:tcPr>
            <w:tcW w:w="9747" w:type="dxa"/>
            <w:gridSpan w:val="12"/>
          </w:tcPr>
          <w:p w:rsidR="004A69C9" w:rsidRPr="00B83CA8" w:rsidRDefault="004A69C9" w:rsidP="009F1F73">
            <w:pPr>
              <w:spacing w:line="336" w:lineRule="atLeast"/>
              <w:rPr>
                <w:rFonts w:eastAsia="Calibri"/>
                <w:b/>
                <w:sz w:val="20"/>
                <w:szCs w:val="20"/>
                <w:lang w:val="es-MX" w:eastAsia="en-US"/>
              </w:rPr>
            </w:pPr>
            <w:r w:rsidRPr="00B83CA8">
              <w:rPr>
                <w:rFonts w:eastAsia="Calibri"/>
                <w:b/>
                <w:sz w:val="20"/>
                <w:szCs w:val="20"/>
                <w:lang w:val="es-MX" w:eastAsia="en-US"/>
              </w:rPr>
              <w:t xml:space="preserve">V.- Evaluación del Monitoreo del Programa </w:t>
            </w:r>
          </w:p>
        </w:tc>
      </w:tr>
      <w:tr w:rsidR="004A69C9" w:rsidRPr="006E2DB3" w:rsidTr="009F1F73">
        <w:tc>
          <w:tcPr>
            <w:tcW w:w="2230" w:type="dxa"/>
            <w:gridSpan w:val="2"/>
            <w:vMerge w:val="restart"/>
          </w:tcPr>
          <w:p w:rsidR="004A69C9" w:rsidRPr="00DB5330" w:rsidRDefault="004A69C9" w:rsidP="009F1F73">
            <w:pPr>
              <w:rPr>
                <w:rFonts w:eastAsia="Calibri"/>
                <w:sz w:val="20"/>
                <w:szCs w:val="20"/>
                <w:lang w:val="es-MX" w:eastAsia="en-US"/>
              </w:rPr>
            </w:pPr>
            <w:r>
              <w:rPr>
                <w:rFonts w:eastAsia="Calibri"/>
                <w:sz w:val="20"/>
                <w:szCs w:val="20"/>
                <w:lang w:val="es-MX" w:eastAsia="en-US"/>
              </w:rPr>
              <w:t>V.I Sistema de indicadores de Monitoreo del Programa</w:t>
            </w:r>
          </w:p>
        </w:tc>
        <w:tc>
          <w:tcPr>
            <w:tcW w:w="3399" w:type="dxa"/>
            <w:gridSpan w:val="7"/>
            <w:shd w:val="clear" w:color="auto" w:fill="D9D9D9"/>
          </w:tcPr>
          <w:p w:rsidR="004A69C9" w:rsidRDefault="004A69C9" w:rsidP="009F1F73">
            <w:pPr>
              <w:autoSpaceDE w:val="0"/>
              <w:autoSpaceDN w:val="0"/>
              <w:adjustRightInd w:val="0"/>
              <w:jc w:val="center"/>
              <w:rPr>
                <w:color w:val="000000"/>
                <w:sz w:val="20"/>
                <w:szCs w:val="20"/>
                <w:lang w:val="es-MX" w:eastAsia="es-ES"/>
              </w:rPr>
            </w:pPr>
            <w:r>
              <w:rPr>
                <w:color w:val="000000"/>
                <w:sz w:val="20"/>
                <w:szCs w:val="20"/>
                <w:lang w:val="es-MX" w:eastAsia="es-ES"/>
              </w:rPr>
              <w:t>Cuantitativas</w:t>
            </w:r>
          </w:p>
        </w:tc>
        <w:tc>
          <w:tcPr>
            <w:tcW w:w="4118" w:type="dxa"/>
            <w:gridSpan w:val="3"/>
            <w:shd w:val="clear" w:color="auto" w:fill="D9D9D9"/>
          </w:tcPr>
          <w:p w:rsidR="004A69C9" w:rsidRDefault="004A69C9" w:rsidP="009F1F73">
            <w:pPr>
              <w:autoSpaceDE w:val="0"/>
              <w:autoSpaceDN w:val="0"/>
              <w:adjustRightInd w:val="0"/>
              <w:jc w:val="center"/>
              <w:rPr>
                <w:color w:val="000000"/>
                <w:sz w:val="20"/>
                <w:szCs w:val="20"/>
                <w:lang w:val="es-MX" w:eastAsia="es-ES"/>
              </w:rPr>
            </w:pPr>
            <w:r>
              <w:rPr>
                <w:color w:val="000000"/>
                <w:sz w:val="20"/>
                <w:szCs w:val="20"/>
                <w:lang w:val="es-MX" w:eastAsia="es-ES"/>
              </w:rPr>
              <w:t>Cualitativas</w:t>
            </w:r>
          </w:p>
        </w:tc>
      </w:tr>
      <w:tr w:rsidR="004A69C9" w:rsidRPr="006E2DB3" w:rsidTr="009F1F73">
        <w:tc>
          <w:tcPr>
            <w:tcW w:w="2230" w:type="dxa"/>
            <w:gridSpan w:val="2"/>
            <w:vMerge/>
          </w:tcPr>
          <w:p w:rsidR="004A69C9" w:rsidRDefault="004A69C9" w:rsidP="009F1F73">
            <w:pPr>
              <w:rPr>
                <w:rFonts w:eastAsia="Calibri"/>
                <w:sz w:val="20"/>
                <w:szCs w:val="20"/>
                <w:lang w:val="es-MX" w:eastAsia="en-US"/>
              </w:rPr>
            </w:pPr>
          </w:p>
        </w:tc>
        <w:tc>
          <w:tcPr>
            <w:tcW w:w="3399" w:type="dxa"/>
            <w:gridSpan w:val="7"/>
          </w:tcPr>
          <w:p w:rsidR="004A69C9" w:rsidRDefault="004A69C9" w:rsidP="009F1F73">
            <w:pPr>
              <w:autoSpaceDE w:val="0"/>
              <w:autoSpaceDN w:val="0"/>
              <w:adjustRightInd w:val="0"/>
              <w:jc w:val="both"/>
              <w:rPr>
                <w:color w:val="000000"/>
                <w:sz w:val="20"/>
                <w:szCs w:val="20"/>
                <w:lang w:val="es-MX" w:eastAsia="es-ES"/>
              </w:rPr>
            </w:pPr>
            <w:r>
              <w:rPr>
                <w:color w:val="000000"/>
                <w:sz w:val="20"/>
                <w:szCs w:val="20"/>
              </w:rPr>
              <w:t>Consiste en otorgar setenta y dos (72) ayudas económicas, dividida en dos entregas para cada persona beneficiaria.</w:t>
            </w:r>
          </w:p>
        </w:tc>
        <w:tc>
          <w:tcPr>
            <w:tcW w:w="4118" w:type="dxa"/>
            <w:gridSpan w:val="3"/>
          </w:tcPr>
          <w:p w:rsidR="004A69C9" w:rsidRDefault="004A69C9" w:rsidP="009F1F73">
            <w:pPr>
              <w:autoSpaceDE w:val="0"/>
              <w:autoSpaceDN w:val="0"/>
              <w:adjustRightInd w:val="0"/>
              <w:jc w:val="both"/>
              <w:rPr>
                <w:color w:val="000000"/>
                <w:sz w:val="20"/>
                <w:szCs w:val="20"/>
                <w:lang w:val="es-MX" w:eastAsia="es-ES"/>
              </w:rPr>
            </w:pPr>
            <w:r>
              <w:rPr>
                <w:color w:val="000000"/>
                <w:sz w:val="20"/>
                <w:szCs w:val="20"/>
              </w:rPr>
              <w:t>Ayudas económicas solicitadas / Ayudas económicas otorgadas x 100 = % de población objetivo beneficiada.</w:t>
            </w:r>
          </w:p>
        </w:tc>
      </w:tr>
      <w:tr w:rsidR="004A69C9" w:rsidRPr="006E2DB3" w:rsidTr="009F1F73">
        <w:tc>
          <w:tcPr>
            <w:tcW w:w="2230" w:type="dxa"/>
            <w:gridSpan w:val="2"/>
            <w:vMerge/>
          </w:tcPr>
          <w:p w:rsidR="004A69C9" w:rsidRDefault="004A69C9" w:rsidP="009F1F73">
            <w:pPr>
              <w:rPr>
                <w:rFonts w:eastAsia="Calibri"/>
                <w:sz w:val="20"/>
                <w:szCs w:val="20"/>
                <w:lang w:val="es-MX" w:eastAsia="en-US"/>
              </w:rPr>
            </w:pPr>
          </w:p>
        </w:tc>
        <w:tc>
          <w:tcPr>
            <w:tcW w:w="3399" w:type="dxa"/>
            <w:gridSpan w:val="7"/>
          </w:tcPr>
          <w:p w:rsidR="004A69C9" w:rsidRDefault="004A69C9" w:rsidP="009F1F73">
            <w:pPr>
              <w:jc w:val="both"/>
              <w:rPr>
                <w:rFonts w:eastAsia="Calibri"/>
                <w:sz w:val="20"/>
                <w:szCs w:val="20"/>
                <w:lang w:val="es-MX" w:eastAsia="en-US"/>
              </w:rPr>
            </w:pPr>
            <w:r>
              <w:rPr>
                <w:rFonts w:eastAsia="Calibri"/>
                <w:sz w:val="20"/>
                <w:szCs w:val="20"/>
                <w:lang w:val="es-MX" w:eastAsia="en-US"/>
              </w:rPr>
              <w:t>La Subdirección de Equidad Social integran los resultados generados en el Informe Trimestral de Avance Programático (ITAP) lo que permitirá conocer periódicamente las metas realizadas.</w:t>
            </w:r>
          </w:p>
          <w:p w:rsidR="004A69C9" w:rsidRPr="00DB5330" w:rsidRDefault="004A69C9" w:rsidP="009F1F73">
            <w:pPr>
              <w:jc w:val="both"/>
              <w:rPr>
                <w:rFonts w:eastAsia="Calibri"/>
                <w:sz w:val="20"/>
                <w:szCs w:val="20"/>
                <w:lang w:val="es-MX" w:eastAsia="en-US"/>
              </w:rPr>
            </w:pPr>
            <w:r w:rsidRPr="009F474E">
              <w:rPr>
                <w:rFonts w:eastAsia="Calibri"/>
                <w:sz w:val="20"/>
                <w:szCs w:val="20"/>
                <w:lang w:val="es-MX" w:eastAsia="en-US"/>
              </w:rPr>
              <w:t>Para la evaluación del Programa se utilizará un indicador de gestión</w:t>
            </w:r>
            <w:r>
              <w:rPr>
                <w:rFonts w:eastAsia="Calibri"/>
                <w:sz w:val="20"/>
                <w:szCs w:val="20"/>
                <w:lang w:val="es-MX" w:eastAsia="en-US"/>
              </w:rPr>
              <w:t xml:space="preserve"> conforme a la siguiente fórmula</w:t>
            </w:r>
            <w:r w:rsidRPr="009F474E">
              <w:rPr>
                <w:rFonts w:eastAsia="Calibri"/>
                <w:sz w:val="20"/>
                <w:szCs w:val="20"/>
                <w:lang w:val="es-MX" w:eastAsia="en-US"/>
              </w:rPr>
              <w:t>:</w:t>
            </w:r>
            <w:r>
              <w:rPr>
                <w:rFonts w:eastAsia="Calibri"/>
                <w:sz w:val="20"/>
                <w:szCs w:val="20"/>
                <w:lang w:val="es-MX" w:eastAsia="en-US"/>
              </w:rPr>
              <w:t xml:space="preserve"> </w:t>
            </w:r>
            <w:r w:rsidRPr="009F474E">
              <w:rPr>
                <w:rFonts w:eastAsia="Calibri"/>
                <w:sz w:val="20"/>
                <w:szCs w:val="20"/>
                <w:lang w:val="es-MX" w:eastAsia="en-US"/>
              </w:rPr>
              <w:t xml:space="preserve">Número de </w:t>
            </w:r>
            <w:r>
              <w:rPr>
                <w:rFonts w:eastAsia="Calibri"/>
                <w:sz w:val="20"/>
                <w:szCs w:val="20"/>
                <w:lang w:val="es-MX" w:eastAsia="en-US"/>
              </w:rPr>
              <w:t>ayudas</w:t>
            </w:r>
            <w:r w:rsidRPr="009F474E">
              <w:rPr>
                <w:rFonts w:eastAsia="Calibri"/>
                <w:sz w:val="20"/>
                <w:szCs w:val="20"/>
                <w:lang w:val="es-MX" w:eastAsia="en-US"/>
              </w:rPr>
              <w:t xml:space="preserve"> </w:t>
            </w:r>
            <w:r>
              <w:rPr>
                <w:rFonts w:eastAsia="Calibri"/>
                <w:sz w:val="20"/>
                <w:szCs w:val="20"/>
                <w:lang w:val="es-MX" w:eastAsia="en-US"/>
              </w:rPr>
              <w:t>otorgadas/</w:t>
            </w:r>
            <w:r w:rsidRPr="009F474E">
              <w:rPr>
                <w:rFonts w:eastAsia="Calibri"/>
                <w:sz w:val="20"/>
                <w:szCs w:val="20"/>
                <w:lang w:val="es-MX" w:eastAsia="en-US"/>
              </w:rPr>
              <w:t xml:space="preserve">número de </w:t>
            </w:r>
            <w:r>
              <w:rPr>
                <w:rFonts w:eastAsia="Calibri"/>
                <w:sz w:val="20"/>
                <w:szCs w:val="20"/>
                <w:lang w:val="es-MX" w:eastAsia="en-US"/>
              </w:rPr>
              <w:t>ayudas</w:t>
            </w:r>
            <w:r w:rsidRPr="009F474E">
              <w:rPr>
                <w:rFonts w:eastAsia="Calibri"/>
                <w:sz w:val="20"/>
                <w:szCs w:val="20"/>
                <w:lang w:val="es-MX" w:eastAsia="en-US"/>
              </w:rPr>
              <w:t xml:space="preserve"> programadas x 100</w:t>
            </w:r>
            <w:r>
              <w:rPr>
                <w:rFonts w:eastAsia="Calibri"/>
                <w:sz w:val="20"/>
                <w:szCs w:val="20"/>
                <w:lang w:val="es-MX" w:eastAsia="en-US"/>
              </w:rPr>
              <w:t>.</w:t>
            </w:r>
          </w:p>
        </w:tc>
        <w:tc>
          <w:tcPr>
            <w:tcW w:w="4118" w:type="dxa"/>
            <w:gridSpan w:val="3"/>
          </w:tcPr>
          <w:p w:rsidR="004A69C9" w:rsidRDefault="004A69C9" w:rsidP="009F1F73">
            <w:pPr>
              <w:suppressAutoHyphens w:val="0"/>
              <w:jc w:val="both"/>
              <w:rPr>
                <w:rFonts w:eastAsia="Calibri"/>
                <w:sz w:val="20"/>
                <w:szCs w:val="20"/>
                <w:lang w:val="es-MX" w:eastAsia="en-US"/>
              </w:rPr>
            </w:pPr>
            <w:r>
              <w:rPr>
                <w:color w:val="000000"/>
                <w:sz w:val="20"/>
                <w:szCs w:val="20"/>
              </w:rPr>
              <w:t>Mejorar los mecanismos de selección de las y los beneficiarios, incorporando rango de edad y tipos de discapacidad susceptibles de recibir prioritariamente el apoyo, así incorporar un mecanismo efectivo de comprobación de la vulnerabilidad económica del solicitante.</w:t>
            </w:r>
          </w:p>
        </w:tc>
      </w:tr>
      <w:tr w:rsidR="004A69C9" w:rsidRPr="006E2DB3" w:rsidTr="009F1F73">
        <w:tc>
          <w:tcPr>
            <w:tcW w:w="2230" w:type="dxa"/>
            <w:gridSpan w:val="2"/>
          </w:tcPr>
          <w:p w:rsidR="004A69C9" w:rsidRPr="00DB5330" w:rsidRDefault="004A69C9" w:rsidP="009F1F73">
            <w:pPr>
              <w:rPr>
                <w:rFonts w:eastAsia="Calibri"/>
                <w:sz w:val="20"/>
                <w:szCs w:val="20"/>
                <w:lang w:val="es-MX" w:eastAsia="en-US"/>
              </w:rPr>
            </w:pPr>
            <w:r w:rsidRPr="00DB5330">
              <w:rPr>
                <w:rFonts w:eastAsia="Calibri"/>
                <w:sz w:val="20"/>
                <w:szCs w:val="20"/>
                <w:lang w:val="es-MX" w:eastAsia="en-US"/>
              </w:rPr>
              <w:t>V.2. Valoración de la Consistencia del Sistema de Indicadores</w:t>
            </w:r>
          </w:p>
        </w:tc>
        <w:tc>
          <w:tcPr>
            <w:tcW w:w="7517" w:type="dxa"/>
            <w:gridSpan w:val="10"/>
          </w:tcPr>
          <w:p w:rsidR="004A69C9" w:rsidRDefault="004A69C9" w:rsidP="009F1F73">
            <w:pPr>
              <w:autoSpaceDE w:val="0"/>
              <w:autoSpaceDN w:val="0"/>
              <w:adjustRightInd w:val="0"/>
              <w:jc w:val="both"/>
              <w:rPr>
                <w:color w:val="000000"/>
                <w:sz w:val="20"/>
                <w:szCs w:val="20"/>
              </w:rPr>
            </w:pPr>
            <w:r>
              <w:rPr>
                <w:color w:val="000000"/>
                <w:sz w:val="20"/>
                <w:szCs w:val="20"/>
              </w:rPr>
              <w:t>Los expedientes que conforman el padrón de beneficiarios.</w:t>
            </w:r>
          </w:p>
          <w:p w:rsidR="004A69C9" w:rsidRDefault="004A69C9" w:rsidP="009F1F73">
            <w:pPr>
              <w:autoSpaceDE w:val="0"/>
              <w:autoSpaceDN w:val="0"/>
              <w:adjustRightInd w:val="0"/>
              <w:jc w:val="both"/>
              <w:rPr>
                <w:color w:val="000000"/>
                <w:sz w:val="20"/>
                <w:szCs w:val="20"/>
              </w:rPr>
            </w:pPr>
            <w:r>
              <w:rPr>
                <w:color w:val="000000"/>
                <w:sz w:val="20"/>
                <w:szCs w:val="20"/>
              </w:rPr>
              <w:t>La rúbrica y huella en la hoja de registro para la entrega de la ayuda económica.</w:t>
            </w:r>
          </w:p>
          <w:p w:rsidR="004A69C9" w:rsidRPr="00760CF7" w:rsidRDefault="004A69C9" w:rsidP="009F1F73">
            <w:pPr>
              <w:autoSpaceDE w:val="0"/>
              <w:autoSpaceDN w:val="0"/>
              <w:adjustRightInd w:val="0"/>
              <w:jc w:val="both"/>
              <w:rPr>
                <w:sz w:val="20"/>
                <w:szCs w:val="20"/>
                <w:lang w:val="es-MX"/>
              </w:rPr>
            </w:pPr>
            <w:r>
              <w:rPr>
                <w:color w:val="000000"/>
                <w:sz w:val="20"/>
                <w:szCs w:val="20"/>
              </w:rPr>
              <w:t>La revisión de estos por parte de la Contraloría Interna.</w:t>
            </w:r>
          </w:p>
        </w:tc>
      </w:tr>
      <w:tr w:rsidR="004A69C9" w:rsidRPr="006E2DB3" w:rsidTr="009F1F73">
        <w:tc>
          <w:tcPr>
            <w:tcW w:w="2230" w:type="dxa"/>
            <w:gridSpan w:val="2"/>
          </w:tcPr>
          <w:p w:rsidR="004A69C9" w:rsidRPr="00DB5330" w:rsidRDefault="004A69C9" w:rsidP="009F1F73">
            <w:pPr>
              <w:rPr>
                <w:rFonts w:eastAsia="Calibri"/>
                <w:sz w:val="20"/>
                <w:szCs w:val="20"/>
                <w:lang w:val="es-MX" w:eastAsia="en-US"/>
              </w:rPr>
            </w:pPr>
            <w:r w:rsidRPr="00DB5330">
              <w:rPr>
                <w:rFonts w:eastAsia="Calibri"/>
                <w:sz w:val="20"/>
                <w:szCs w:val="20"/>
                <w:lang w:val="es-MX" w:eastAsia="en-US"/>
              </w:rPr>
              <w:t>V.3. Mecanismos de Seguimiento de Indicadores</w:t>
            </w:r>
          </w:p>
        </w:tc>
        <w:tc>
          <w:tcPr>
            <w:tcW w:w="7517" w:type="dxa"/>
            <w:gridSpan w:val="10"/>
          </w:tcPr>
          <w:p w:rsidR="004A69C9" w:rsidRPr="00DB5330" w:rsidRDefault="004A69C9" w:rsidP="009F1F73">
            <w:pPr>
              <w:autoSpaceDE w:val="0"/>
              <w:autoSpaceDN w:val="0"/>
              <w:adjustRightInd w:val="0"/>
              <w:jc w:val="both"/>
              <w:rPr>
                <w:rFonts w:eastAsia="Calibri"/>
                <w:sz w:val="20"/>
                <w:szCs w:val="20"/>
                <w:lang w:val="es-MX" w:eastAsia="en-US"/>
              </w:rPr>
            </w:pPr>
            <w:r>
              <w:rPr>
                <w:color w:val="000000"/>
                <w:sz w:val="20"/>
                <w:szCs w:val="20"/>
              </w:rPr>
              <w:t>La Subdirección de Equidad Social deberá realizar una evaluación al programa de Ayudas Económicas a Personas con Discapacidad en condición de Vulnerabilidad cuyo objetivo es favorecer la mejora de las circunstancias de carácter económico de las personas con discapacidad en condición de vulnerabilidad que residen en la Delegación Milpa Alta, hasta lograr su  incorporación a una vida plena y productiva, considerando el cumplimiento de la meta anual descrita.</w:t>
            </w:r>
          </w:p>
        </w:tc>
      </w:tr>
      <w:tr w:rsidR="004A69C9" w:rsidRPr="006E2DB3" w:rsidTr="009F1F73">
        <w:tc>
          <w:tcPr>
            <w:tcW w:w="2230" w:type="dxa"/>
            <w:gridSpan w:val="2"/>
          </w:tcPr>
          <w:p w:rsidR="004A69C9" w:rsidRPr="00DB5330" w:rsidRDefault="004A69C9" w:rsidP="009F1F73">
            <w:pPr>
              <w:rPr>
                <w:rFonts w:eastAsia="Calibri"/>
                <w:sz w:val="20"/>
                <w:szCs w:val="20"/>
                <w:lang w:val="es-MX" w:eastAsia="en-US"/>
              </w:rPr>
            </w:pPr>
            <w:r w:rsidRPr="00DB5330">
              <w:rPr>
                <w:rFonts w:eastAsia="Calibri"/>
                <w:sz w:val="20"/>
                <w:szCs w:val="20"/>
                <w:lang w:val="es-MX" w:eastAsia="en-US"/>
              </w:rPr>
              <w:t>V.4. Principales Resultados del Programa</w:t>
            </w:r>
          </w:p>
        </w:tc>
        <w:tc>
          <w:tcPr>
            <w:tcW w:w="7517" w:type="dxa"/>
            <w:gridSpan w:val="10"/>
          </w:tcPr>
          <w:p w:rsidR="004A69C9" w:rsidRPr="00DB5330" w:rsidRDefault="004A69C9" w:rsidP="009F1F73">
            <w:pPr>
              <w:autoSpaceDE w:val="0"/>
              <w:autoSpaceDN w:val="0"/>
              <w:adjustRightInd w:val="0"/>
              <w:rPr>
                <w:rFonts w:eastAsia="Calibri"/>
                <w:sz w:val="20"/>
                <w:szCs w:val="20"/>
                <w:lang w:val="es-MX" w:eastAsia="en-US"/>
              </w:rPr>
            </w:pPr>
            <w:r>
              <w:rPr>
                <w:color w:val="000000"/>
                <w:sz w:val="20"/>
                <w:szCs w:val="20"/>
              </w:rPr>
              <w:t>Mantener actualizado el padrón de beneficiarios, verificando a cada beneficiario.</w:t>
            </w:r>
          </w:p>
        </w:tc>
      </w:tr>
      <w:tr w:rsidR="004A69C9" w:rsidRPr="006E2DB3" w:rsidTr="009F1F73">
        <w:tc>
          <w:tcPr>
            <w:tcW w:w="2230" w:type="dxa"/>
            <w:gridSpan w:val="2"/>
            <w:vMerge w:val="restart"/>
          </w:tcPr>
          <w:p w:rsidR="004A69C9" w:rsidRPr="00DB5330" w:rsidRDefault="004A69C9" w:rsidP="009F1F73">
            <w:pPr>
              <w:rPr>
                <w:rFonts w:eastAsia="Calibri"/>
                <w:sz w:val="20"/>
                <w:szCs w:val="20"/>
                <w:lang w:val="es-MX" w:eastAsia="en-US"/>
              </w:rPr>
            </w:pPr>
            <w:r w:rsidRPr="00DB5330">
              <w:rPr>
                <w:rFonts w:eastAsia="Calibri"/>
                <w:sz w:val="20"/>
                <w:szCs w:val="20"/>
                <w:lang w:val="es-MX" w:eastAsia="en-US"/>
              </w:rPr>
              <w:t>V.5. Matriz FODA del Monitoreo del Programa</w:t>
            </w:r>
          </w:p>
        </w:tc>
        <w:tc>
          <w:tcPr>
            <w:tcW w:w="7517" w:type="dxa"/>
            <w:gridSpan w:val="10"/>
          </w:tcPr>
          <w:p w:rsidR="004A69C9"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Análisis Interno</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3265" w:type="dxa"/>
            <w:gridSpan w:val="4"/>
            <w:shd w:val="clear" w:color="auto" w:fill="D9D9D9"/>
          </w:tcPr>
          <w:p w:rsidR="004A69C9" w:rsidRPr="00DB5330"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Fortalezas</w:t>
            </w:r>
          </w:p>
        </w:tc>
        <w:tc>
          <w:tcPr>
            <w:tcW w:w="4252" w:type="dxa"/>
            <w:gridSpan w:val="6"/>
            <w:shd w:val="clear" w:color="auto" w:fill="D9D9D9"/>
          </w:tcPr>
          <w:p w:rsidR="004A69C9" w:rsidRPr="00DB5330"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Debilidades</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3265" w:type="dxa"/>
            <w:gridSpan w:val="4"/>
          </w:tcPr>
          <w:p w:rsidR="004A69C9" w:rsidRPr="00DB5330" w:rsidRDefault="004A69C9" w:rsidP="009F1F73">
            <w:pPr>
              <w:autoSpaceDE w:val="0"/>
              <w:autoSpaceDN w:val="0"/>
              <w:adjustRightInd w:val="0"/>
              <w:jc w:val="both"/>
              <w:rPr>
                <w:rFonts w:eastAsia="Calibri"/>
                <w:sz w:val="20"/>
                <w:szCs w:val="20"/>
                <w:lang w:val="es-MX" w:eastAsia="en-US"/>
              </w:rPr>
            </w:pPr>
            <w:r>
              <w:rPr>
                <w:rFonts w:eastAsia="Calibri"/>
                <w:sz w:val="20"/>
                <w:szCs w:val="20"/>
                <w:lang w:val="es-MX" w:eastAsia="en-US"/>
              </w:rPr>
              <w:t>Mejorar la relación social con trato digno y humano e igualitario.</w:t>
            </w:r>
          </w:p>
        </w:tc>
        <w:tc>
          <w:tcPr>
            <w:tcW w:w="4252" w:type="dxa"/>
            <w:gridSpan w:val="6"/>
          </w:tcPr>
          <w:p w:rsidR="004A69C9" w:rsidRPr="00DB5330" w:rsidRDefault="004A69C9" w:rsidP="009F1F73">
            <w:pPr>
              <w:autoSpaceDE w:val="0"/>
              <w:autoSpaceDN w:val="0"/>
              <w:adjustRightInd w:val="0"/>
              <w:jc w:val="both"/>
              <w:rPr>
                <w:rFonts w:eastAsia="Calibri"/>
                <w:sz w:val="20"/>
                <w:szCs w:val="20"/>
                <w:lang w:val="es-MX" w:eastAsia="en-US"/>
              </w:rPr>
            </w:pPr>
            <w:r>
              <w:rPr>
                <w:rFonts w:eastAsia="Calibri"/>
                <w:sz w:val="20"/>
                <w:szCs w:val="20"/>
                <w:lang w:val="es-MX" w:eastAsia="en-US"/>
              </w:rPr>
              <w:t xml:space="preserve">No contar con un mecanismo de verificación que permita elevar la calidad del servicio con mira a la mejora constante </w:t>
            </w:r>
          </w:p>
        </w:tc>
      </w:tr>
      <w:tr w:rsidR="004A69C9" w:rsidRPr="006E2DB3" w:rsidTr="009F1F73">
        <w:tc>
          <w:tcPr>
            <w:tcW w:w="2230" w:type="dxa"/>
            <w:gridSpan w:val="2"/>
            <w:vMerge w:val="restart"/>
          </w:tcPr>
          <w:p w:rsidR="004A69C9" w:rsidRPr="00DB5330" w:rsidRDefault="004A69C9" w:rsidP="009F1F73">
            <w:pPr>
              <w:rPr>
                <w:rFonts w:eastAsia="Calibri"/>
                <w:sz w:val="20"/>
                <w:szCs w:val="20"/>
                <w:lang w:val="es-MX" w:eastAsia="en-US"/>
              </w:rPr>
            </w:pPr>
          </w:p>
        </w:tc>
        <w:tc>
          <w:tcPr>
            <w:tcW w:w="7517" w:type="dxa"/>
            <w:gridSpan w:val="10"/>
          </w:tcPr>
          <w:p w:rsidR="004A69C9" w:rsidRPr="00DB5330"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Análisis Externo</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3265" w:type="dxa"/>
            <w:gridSpan w:val="4"/>
            <w:shd w:val="clear" w:color="auto" w:fill="D9D9D9"/>
          </w:tcPr>
          <w:p w:rsidR="004A69C9" w:rsidRPr="00DB5330"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Oportunidades</w:t>
            </w:r>
          </w:p>
        </w:tc>
        <w:tc>
          <w:tcPr>
            <w:tcW w:w="4252" w:type="dxa"/>
            <w:gridSpan w:val="6"/>
            <w:shd w:val="clear" w:color="auto" w:fill="D9D9D9"/>
          </w:tcPr>
          <w:p w:rsidR="004A69C9" w:rsidRPr="00DB5330"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Amenazas</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3265" w:type="dxa"/>
            <w:gridSpan w:val="4"/>
            <w:vAlign w:val="center"/>
          </w:tcPr>
          <w:p w:rsidR="004A69C9" w:rsidRDefault="004A69C9" w:rsidP="009F1F73">
            <w:pPr>
              <w:jc w:val="both"/>
              <w:rPr>
                <w:color w:val="000000"/>
                <w:sz w:val="20"/>
                <w:szCs w:val="20"/>
                <w:lang w:eastAsia="es-ES"/>
              </w:rPr>
            </w:pPr>
            <w:r>
              <w:rPr>
                <w:color w:val="000000"/>
                <w:sz w:val="20"/>
                <w:szCs w:val="20"/>
              </w:rPr>
              <w:t>Tener una vida digna y un desarrollo social sin discriminación.</w:t>
            </w:r>
          </w:p>
        </w:tc>
        <w:tc>
          <w:tcPr>
            <w:tcW w:w="4252" w:type="dxa"/>
            <w:gridSpan w:val="6"/>
            <w:vAlign w:val="center"/>
          </w:tcPr>
          <w:p w:rsidR="004A69C9" w:rsidRDefault="004A69C9" w:rsidP="009F1F73">
            <w:pPr>
              <w:jc w:val="both"/>
              <w:rPr>
                <w:color w:val="000000"/>
                <w:sz w:val="20"/>
                <w:szCs w:val="20"/>
                <w:lang w:eastAsia="es-ES"/>
              </w:rPr>
            </w:pPr>
            <w:r>
              <w:rPr>
                <w:color w:val="000000"/>
                <w:sz w:val="20"/>
                <w:szCs w:val="20"/>
              </w:rPr>
              <w:t>Exclusión de una vida social.</w:t>
            </w:r>
          </w:p>
        </w:tc>
      </w:tr>
      <w:tr w:rsidR="004A69C9" w:rsidRPr="006E2DB3" w:rsidTr="009F1F73">
        <w:tc>
          <w:tcPr>
            <w:tcW w:w="9747" w:type="dxa"/>
            <w:gridSpan w:val="12"/>
          </w:tcPr>
          <w:p w:rsidR="004A69C9" w:rsidRPr="00B83CA8" w:rsidRDefault="004A69C9" w:rsidP="009F1F73">
            <w:pPr>
              <w:spacing w:line="336" w:lineRule="atLeast"/>
              <w:rPr>
                <w:rFonts w:eastAsia="Calibri"/>
                <w:b/>
                <w:sz w:val="20"/>
                <w:szCs w:val="20"/>
                <w:lang w:val="es-MX" w:eastAsia="en-US"/>
              </w:rPr>
            </w:pPr>
            <w:r>
              <w:rPr>
                <w:rFonts w:eastAsia="Calibri"/>
                <w:b/>
                <w:sz w:val="20"/>
                <w:szCs w:val="20"/>
                <w:lang w:val="es-MX" w:eastAsia="en-US"/>
              </w:rPr>
              <w:t xml:space="preserve">VI.- </w:t>
            </w:r>
            <w:r w:rsidRPr="00B83CA8">
              <w:rPr>
                <w:rFonts w:eastAsia="Calibri"/>
                <w:b/>
                <w:sz w:val="20"/>
                <w:szCs w:val="20"/>
                <w:lang w:val="es-MX" w:eastAsia="en-US"/>
              </w:rPr>
              <w:t xml:space="preserve"> Resultados de la Evaluación </w:t>
            </w:r>
          </w:p>
        </w:tc>
      </w:tr>
      <w:tr w:rsidR="004A69C9" w:rsidRPr="006E2DB3" w:rsidTr="009F1F73">
        <w:trPr>
          <w:trHeight w:val="272"/>
        </w:trPr>
        <w:tc>
          <w:tcPr>
            <w:tcW w:w="2230" w:type="dxa"/>
            <w:gridSpan w:val="2"/>
            <w:vMerge w:val="restart"/>
          </w:tcPr>
          <w:p w:rsidR="004A69C9" w:rsidRPr="00DB5330" w:rsidRDefault="004A69C9" w:rsidP="009F1F73">
            <w:pPr>
              <w:jc w:val="both"/>
              <w:rPr>
                <w:rFonts w:eastAsia="Calibri"/>
                <w:sz w:val="20"/>
                <w:szCs w:val="20"/>
                <w:lang w:val="es-MX" w:eastAsia="en-US"/>
              </w:rPr>
            </w:pPr>
            <w:r w:rsidRPr="00DB5330">
              <w:rPr>
                <w:rFonts w:eastAsia="Calibri"/>
                <w:sz w:val="20"/>
                <w:szCs w:val="20"/>
                <w:lang w:val="es-MX" w:eastAsia="en-US"/>
              </w:rPr>
              <w:t>VI.1. Conclusiones de la Evaluación (FODA General de la Evaluación)</w:t>
            </w:r>
          </w:p>
        </w:tc>
        <w:tc>
          <w:tcPr>
            <w:tcW w:w="7517" w:type="dxa"/>
            <w:gridSpan w:val="10"/>
            <w:shd w:val="clear" w:color="auto" w:fill="FFFFFF"/>
          </w:tcPr>
          <w:p w:rsidR="004A69C9" w:rsidRPr="00DB5330"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 xml:space="preserve">Análisis Interno </w:t>
            </w:r>
          </w:p>
        </w:tc>
      </w:tr>
      <w:tr w:rsidR="004A69C9" w:rsidRPr="006E2DB3" w:rsidTr="009F1F73">
        <w:trPr>
          <w:trHeight w:val="272"/>
        </w:trPr>
        <w:tc>
          <w:tcPr>
            <w:tcW w:w="2230" w:type="dxa"/>
            <w:gridSpan w:val="2"/>
            <w:vMerge/>
          </w:tcPr>
          <w:p w:rsidR="004A69C9" w:rsidRPr="00DB5330" w:rsidRDefault="004A69C9" w:rsidP="009F1F73">
            <w:pPr>
              <w:jc w:val="both"/>
              <w:rPr>
                <w:rFonts w:eastAsia="Calibri"/>
                <w:sz w:val="20"/>
                <w:szCs w:val="20"/>
                <w:lang w:val="es-MX" w:eastAsia="en-US"/>
              </w:rPr>
            </w:pPr>
          </w:p>
        </w:tc>
        <w:tc>
          <w:tcPr>
            <w:tcW w:w="3265" w:type="dxa"/>
            <w:gridSpan w:val="4"/>
            <w:shd w:val="clear" w:color="auto" w:fill="D9D9D9"/>
          </w:tcPr>
          <w:p w:rsidR="004A69C9"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Fortalezas</w:t>
            </w:r>
          </w:p>
        </w:tc>
        <w:tc>
          <w:tcPr>
            <w:tcW w:w="4252" w:type="dxa"/>
            <w:gridSpan w:val="6"/>
            <w:shd w:val="clear" w:color="auto" w:fill="D9D9D9"/>
          </w:tcPr>
          <w:p w:rsidR="004A69C9"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Debilidades</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3265" w:type="dxa"/>
            <w:gridSpan w:val="4"/>
            <w:vAlign w:val="center"/>
          </w:tcPr>
          <w:p w:rsidR="004A69C9" w:rsidRDefault="004A69C9" w:rsidP="009F1F73">
            <w:pPr>
              <w:jc w:val="both"/>
              <w:rPr>
                <w:color w:val="000000"/>
                <w:sz w:val="20"/>
                <w:szCs w:val="20"/>
                <w:lang w:eastAsia="es-ES"/>
              </w:rPr>
            </w:pPr>
            <w:r>
              <w:rPr>
                <w:color w:val="000000"/>
                <w:sz w:val="20"/>
                <w:szCs w:val="20"/>
              </w:rPr>
              <w:t>Los beneficiarios tienen la oportunidad de cierta independencia.</w:t>
            </w:r>
          </w:p>
        </w:tc>
        <w:tc>
          <w:tcPr>
            <w:tcW w:w="4252" w:type="dxa"/>
            <w:gridSpan w:val="6"/>
            <w:vAlign w:val="center"/>
          </w:tcPr>
          <w:p w:rsidR="004A69C9" w:rsidRDefault="004A69C9" w:rsidP="009F1F73">
            <w:pPr>
              <w:jc w:val="both"/>
              <w:rPr>
                <w:color w:val="000000"/>
                <w:sz w:val="20"/>
                <w:szCs w:val="20"/>
                <w:lang w:eastAsia="es-ES"/>
              </w:rPr>
            </w:pPr>
            <w:r>
              <w:rPr>
                <w:color w:val="000000"/>
                <w:sz w:val="20"/>
                <w:szCs w:val="20"/>
              </w:rPr>
              <w:t>No se puede verificar la el avance de independencia de los beneficiarios.</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7517" w:type="dxa"/>
            <w:gridSpan w:val="10"/>
          </w:tcPr>
          <w:p w:rsidR="004A69C9" w:rsidRPr="00DB5330" w:rsidRDefault="004A69C9" w:rsidP="009F1F73">
            <w:pPr>
              <w:suppressAutoHyphens w:val="0"/>
              <w:jc w:val="center"/>
              <w:rPr>
                <w:rFonts w:eastAsia="Calibri"/>
                <w:sz w:val="20"/>
                <w:szCs w:val="20"/>
                <w:lang w:val="es-MX" w:eastAsia="en-US"/>
              </w:rPr>
            </w:pPr>
            <w:r>
              <w:rPr>
                <w:rFonts w:eastAsia="Calibri"/>
                <w:sz w:val="20"/>
                <w:szCs w:val="20"/>
                <w:lang w:val="es-MX" w:eastAsia="en-US"/>
              </w:rPr>
              <w:t>Análisis Externo</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3265" w:type="dxa"/>
            <w:gridSpan w:val="4"/>
            <w:shd w:val="clear" w:color="auto" w:fill="D9D9D9"/>
          </w:tcPr>
          <w:p w:rsidR="004A69C9" w:rsidRPr="00DB5330"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Oportunidades</w:t>
            </w:r>
          </w:p>
        </w:tc>
        <w:tc>
          <w:tcPr>
            <w:tcW w:w="4252" w:type="dxa"/>
            <w:gridSpan w:val="6"/>
            <w:shd w:val="clear" w:color="auto" w:fill="D9D9D9"/>
          </w:tcPr>
          <w:p w:rsidR="004A69C9" w:rsidRPr="00DB5330" w:rsidRDefault="004A69C9" w:rsidP="009F1F73">
            <w:pPr>
              <w:autoSpaceDE w:val="0"/>
              <w:autoSpaceDN w:val="0"/>
              <w:adjustRightInd w:val="0"/>
              <w:jc w:val="center"/>
              <w:rPr>
                <w:rFonts w:eastAsia="Calibri"/>
                <w:sz w:val="20"/>
                <w:szCs w:val="20"/>
                <w:lang w:val="es-MX" w:eastAsia="en-US"/>
              </w:rPr>
            </w:pPr>
            <w:r>
              <w:rPr>
                <w:rFonts w:eastAsia="Calibri"/>
                <w:sz w:val="20"/>
                <w:szCs w:val="20"/>
                <w:lang w:val="es-MX" w:eastAsia="en-US"/>
              </w:rPr>
              <w:t>Amenazas</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3265" w:type="dxa"/>
            <w:gridSpan w:val="4"/>
            <w:vAlign w:val="center"/>
          </w:tcPr>
          <w:p w:rsidR="004A69C9" w:rsidRDefault="004A69C9" w:rsidP="009F1F73">
            <w:pPr>
              <w:jc w:val="both"/>
              <w:rPr>
                <w:color w:val="000000"/>
                <w:sz w:val="20"/>
                <w:szCs w:val="20"/>
                <w:lang w:eastAsia="es-ES"/>
              </w:rPr>
            </w:pPr>
            <w:r>
              <w:rPr>
                <w:color w:val="000000"/>
                <w:sz w:val="20"/>
                <w:szCs w:val="20"/>
              </w:rPr>
              <w:t>Los familiares de los beneficiarios se integran a una vida social.</w:t>
            </w:r>
          </w:p>
        </w:tc>
        <w:tc>
          <w:tcPr>
            <w:tcW w:w="4252" w:type="dxa"/>
            <w:gridSpan w:val="6"/>
            <w:vAlign w:val="center"/>
          </w:tcPr>
          <w:p w:rsidR="004A69C9" w:rsidRDefault="004A69C9" w:rsidP="009F1F73">
            <w:pPr>
              <w:jc w:val="both"/>
              <w:rPr>
                <w:color w:val="000000"/>
                <w:sz w:val="20"/>
                <w:szCs w:val="20"/>
                <w:lang w:eastAsia="es-ES"/>
              </w:rPr>
            </w:pPr>
            <w:r>
              <w:rPr>
                <w:color w:val="000000"/>
                <w:sz w:val="20"/>
                <w:szCs w:val="20"/>
              </w:rPr>
              <w:t>La exigencia de aumentar el número de beneficiarios.</w:t>
            </w:r>
          </w:p>
        </w:tc>
      </w:tr>
      <w:tr w:rsidR="004A69C9" w:rsidRPr="006E2DB3" w:rsidTr="009F1F73">
        <w:tc>
          <w:tcPr>
            <w:tcW w:w="2230" w:type="dxa"/>
            <w:gridSpan w:val="2"/>
          </w:tcPr>
          <w:p w:rsidR="004A69C9" w:rsidRPr="00973E71" w:rsidRDefault="004A69C9" w:rsidP="009F1F73">
            <w:pPr>
              <w:rPr>
                <w:rFonts w:eastAsia="Calibri"/>
                <w:sz w:val="20"/>
                <w:szCs w:val="20"/>
                <w:lang w:val="es-MX" w:eastAsia="en-US"/>
              </w:rPr>
            </w:pPr>
            <w:r w:rsidRPr="00973E71">
              <w:rPr>
                <w:rFonts w:eastAsia="Calibri"/>
                <w:sz w:val="20"/>
                <w:szCs w:val="20"/>
                <w:lang w:val="es-MX" w:eastAsia="en-US"/>
              </w:rPr>
              <w:t xml:space="preserve">VI.2. Medidas Correctivas o de Reorientación (Propuestas, Sugerencias </w:t>
            </w:r>
            <w:r w:rsidRPr="00973E71">
              <w:rPr>
                <w:rFonts w:eastAsia="Calibri"/>
                <w:sz w:val="20"/>
                <w:szCs w:val="20"/>
                <w:lang w:val="es-MX" w:eastAsia="en-US"/>
              </w:rPr>
              <w:lastRenderedPageBreak/>
              <w:t xml:space="preserve">y/o Recomendaciones) </w:t>
            </w:r>
          </w:p>
        </w:tc>
        <w:tc>
          <w:tcPr>
            <w:tcW w:w="7517" w:type="dxa"/>
            <w:gridSpan w:val="10"/>
          </w:tcPr>
          <w:p w:rsidR="004A69C9" w:rsidRPr="00DB5330" w:rsidRDefault="004A69C9" w:rsidP="009F1F73">
            <w:pPr>
              <w:autoSpaceDE w:val="0"/>
              <w:autoSpaceDN w:val="0"/>
              <w:adjustRightInd w:val="0"/>
              <w:jc w:val="both"/>
              <w:rPr>
                <w:rFonts w:eastAsia="Calibri"/>
                <w:sz w:val="20"/>
                <w:szCs w:val="20"/>
                <w:lang w:val="es-MX"/>
              </w:rPr>
            </w:pPr>
            <w:r>
              <w:rPr>
                <w:rFonts w:eastAsia="Calibri"/>
                <w:sz w:val="20"/>
                <w:szCs w:val="20"/>
                <w:lang w:val="es-MX"/>
              </w:rPr>
              <w:lastRenderedPageBreak/>
              <w:t xml:space="preserve">Este programa se encuentra en etapa de madurez y sobre todo ha permitido cubrir los objetivos y metas programadas durante su planeación, es por ello, que debe reforzar todos y cada uno de los mecanismos que de manera asertiva permitieron el buen desarrollo del programa, la creación de este tipo de apoyos, permite que la población en estado de </w:t>
            </w:r>
            <w:r>
              <w:rPr>
                <w:rFonts w:eastAsia="Calibri"/>
                <w:sz w:val="20"/>
                <w:szCs w:val="20"/>
                <w:lang w:val="es-MX"/>
              </w:rPr>
              <w:lastRenderedPageBreak/>
              <w:t>vulnerabilidad, como son las personas con discapacidad tengan mayores oportunidades ante la sociedad.</w:t>
            </w:r>
          </w:p>
        </w:tc>
      </w:tr>
      <w:tr w:rsidR="004A69C9" w:rsidRPr="006E2DB3" w:rsidTr="009F1F73">
        <w:tc>
          <w:tcPr>
            <w:tcW w:w="2230" w:type="dxa"/>
            <w:gridSpan w:val="2"/>
            <w:vMerge w:val="restart"/>
          </w:tcPr>
          <w:p w:rsidR="004A69C9" w:rsidRPr="00973E71" w:rsidRDefault="004A69C9" w:rsidP="009F1F73">
            <w:pPr>
              <w:rPr>
                <w:rFonts w:eastAsia="Calibri"/>
                <w:sz w:val="20"/>
                <w:szCs w:val="20"/>
                <w:lang w:val="es-MX" w:eastAsia="en-US"/>
              </w:rPr>
            </w:pPr>
            <w:r w:rsidRPr="00DB5330">
              <w:rPr>
                <w:rFonts w:eastAsia="Calibri"/>
                <w:sz w:val="20"/>
                <w:szCs w:val="20"/>
                <w:lang w:val="es-MX" w:eastAsia="en-US"/>
              </w:rPr>
              <w:lastRenderedPageBreak/>
              <w:t>VI.3. Cronograma de Seguimiento</w:t>
            </w:r>
          </w:p>
        </w:tc>
        <w:tc>
          <w:tcPr>
            <w:tcW w:w="7517" w:type="dxa"/>
            <w:gridSpan w:val="10"/>
          </w:tcPr>
          <w:p w:rsidR="004A69C9" w:rsidRPr="00DB5330" w:rsidRDefault="004A69C9" w:rsidP="009F1F73">
            <w:pPr>
              <w:autoSpaceDE w:val="0"/>
              <w:autoSpaceDN w:val="0"/>
              <w:adjustRightInd w:val="0"/>
              <w:jc w:val="both"/>
              <w:rPr>
                <w:rFonts w:eastAsia="Calibri"/>
                <w:sz w:val="20"/>
                <w:szCs w:val="20"/>
                <w:lang w:val="es-MX" w:eastAsia="en-US"/>
              </w:rPr>
            </w:pPr>
            <w:r>
              <w:rPr>
                <w:rFonts w:eastAsia="Calibri"/>
                <w:sz w:val="20"/>
                <w:szCs w:val="20"/>
                <w:lang w:val="es-MX" w:eastAsia="en-US"/>
              </w:rPr>
              <w:t>La Unidad Departamental de Atención a Grupos Vulnerables lleva a cabo un informe trimestral de los avances, metas y presupuesto ejercido (ITAP).</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3265" w:type="dxa"/>
            <w:gridSpan w:val="4"/>
            <w:shd w:val="clear" w:color="auto" w:fill="D9D9D9"/>
          </w:tcPr>
          <w:p w:rsidR="004A69C9" w:rsidRPr="00021672" w:rsidRDefault="004A69C9" w:rsidP="009F1F73">
            <w:pPr>
              <w:autoSpaceDE w:val="0"/>
              <w:autoSpaceDN w:val="0"/>
              <w:adjustRightInd w:val="0"/>
              <w:jc w:val="center"/>
              <w:rPr>
                <w:rFonts w:eastAsia="Calibri"/>
                <w:b/>
                <w:sz w:val="20"/>
                <w:szCs w:val="20"/>
                <w:lang w:val="es-MX" w:eastAsia="en-US"/>
              </w:rPr>
            </w:pPr>
            <w:r w:rsidRPr="00021672">
              <w:rPr>
                <w:rFonts w:eastAsia="Calibri"/>
                <w:b/>
                <w:sz w:val="20"/>
                <w:szCs w:val="20"/>
                <w:lang w:val="es-MX" w:eastAsia="en-US"/>
              </w:rPr>
              <w:t>Sugerencias</w:t>
            </w:r>
          </w:p>
        </w:tc>
        <w:tc>
          <w:tcPr>
            <w:tcW w:w="4252" w:type="dxa"/>
            <w:gridSpan w:val="6"/>
            <w:shd w:val="clear" w:color="auto" w:fill="D9D9D9"/>
          </w:tcPr>
          <w:p w:rsidR="004A69C9" w:rsidRPr="00021672" w:rsidRDefault="004A69C9" w:rsidP="009F1F73">
            <w:pPr>
              <w:autoSpaceDE w:val="0"/>
              <w:autoSpaceDN w:val="0"/>
              <w:adjustRightInd w:val="0"/>
              <w:jc w:val="center"/>
              <w:rPr>
                <w:rFonts w:eastAsia="Calibri"/>
                <w:b/>
                <w:sz w:val="20"/>
                <w:szCs w:val="20"/>
                <w:lang w:val="es-MX" w:eastAsia="en-US"/>
              </w:rPr>
            </w:pPr>
            <w:r>
              <w:rPr>
                <w:rFonts w:eastAsia="Calibri"/>
                <w:b/>
                <w:sz w:val="20"/>
                <w:szCs w:val="20"/>
                <w:lang w:val="es-MX" w:eastAsia="en-US"/>
              </w:rPr>
              <w:t>Recomendaciones</w:t>
            </w:r>
          </w:p>
        </w:tc>
      </w:tr>
      <w:tr w:rsidR="004A69C9" w:rsidRPr="006E2DB3" w:rsidTr="009F1F73">
        <w:tc>
          <w:tcPr>
            <w:tcW w:w="2230" w:type="dxa"/>
            <w:gridSpan w:val="2"/>
            <w:vMerge/>
          </w:tcPr>
          <w:p w:rsidR="004A69C9" w:rsidRPr="00DB5330" w:rsidRDefault="004A69C9" w:rsidP="009F1F73">
            <w:pPr>
              <w:rPr>
                <w:rFonts w:eastAsia="Calibri"/>
                <w:sz w:val="20"/>
                <w:szCs w:val="20"/>
                <w:lang w:val="es-MX" w:eastAsia="en-US"/>
              </w:rPr>
            </w:pPr>
          </w:p>
        </w:tc>
        <w:tc>
          <w:tcPr>
            <w:tcW w:w="3265" w:type="dxa"/>
            <w:gridSpan w:val="4"/>
          </w:tcPr>
          <w:p w:rsidR="004A69C9" w:rsidRDefault="004A69C9" w:rsidP="009F1F73">
            <w:pPr>
              <w:autoSpaceDE w:val="0"/>
              <w:autoSpaceDN w:val="0"/>
              <w:adjustRightInd w:val="0"/>
              <w:jc w:val="both"/>
              <w:rPr>
                <w:color w:val="000000"/>
                <w:sz w:val="20"/>
                <w:szCs w:val="20"/>
              </w:rPr>
            </w:pPr>
            <w:r>
              <w:rPr>
                <w:color w:val="000000"/>
                <w:sz w:val="20"/>
                <w:szCs w:val="20"/>
              </w:rPr>
              <w:t>Solicitar a la Dirección General de Administración a través de la Dirección General de Desarrollo Social, la liberación del recurso con el fin de cubrir la universalidad de la población objetivo.</w:t>
            </w:r>
          </w:p>
          <w:p w:rsidR="004A69C9" w:rsidRDefault="004A69C9" w:rsidP="009F1F73">
            <w:pPr>
              <w:autoSpaceDE w:val="0"/>
              <w:autoSpaceDN w:val="0"/>
              <w:adjustRightInd w:val="0"/>
              <w:jc w:val="both"/>
              <w:rPr>
                <w:color w:val="000000"/>
                <w:sz w:val="20"/>
                <w:szCs w:val="20"/>
              </w:rPr>
            </w:pPr>
            <w:r>
              <w:rPr>
                <w:color w:val="000000"/>
                <w:sz w:val="20"/>
                <w:szCs w:val="20"/>
              </w:rPr>
              <w:t>La Dirección de Gestión Social es la encargada de dar seguimiento a la solicitud de liberación presupuestaria y de metas físicas.</w:t>
            </w:r>
          </w:p>
          <w:p w:rsidR="004A69C9" w:rsidRPr="00DB5330" w:rsidRDefault="004A69C9" w:rsidP="009F1F73">
            <w:pPr>
              <w:autoSpaceDE w:val="0"/>
              <w:autoSpaceDN w:val="0"/>
              <w:adjustRightInd w:val="0"/>
              <w:jc w:val="both"/>
              <w:rPr>
                <w:rFonts w:eastAsia="Calibri"/>
                <w:sz w:val="20"/>
                <w:szCs w:val="20"/>
                <w:lang w:val="es-MX" w:eastAsia="en-US"/>
              </w:rPr>
            </w:pPr>
            <w:r>
              <w:rPr>
                <w:color w:val="000000"/>
                <w:sz w:val="20"/>
                <w:szCs w:val="20"/>
              </w:rPr>
              <w:t>La J.U.D. de Atención a Grupos Vulnerables entregara el apoyo como esta publicada en las reglas de Operación publicadas el 31 de Enero del 2013 en la Gaceta Oficial del Distrito Federal No. 1534 bis.</w:t>
            </w:r>
          </w:p>
        </w:tc>
        <w:tc>
          <w:tcPr>
            <w:tcW w:w="4252" w:type="dxa"/>
            <w:gridSpan w:val="6"/>
          </w:tcPr>
          <w:p w:rsidR="004A69C9" w:rsidRPr="00DB5330" w:rsidRDefault="004A69C9" w:rsidP="009F1F73">
            <w:pPr>
              <w:autoSpaceDE w:val="0"/>
              <w:autoSpaceDN w:val="0"/>
              <w:adjustRightInd w:val="0"/>
              <w:jc w:val="both"/>
              <w:rPr>
                <w:rFonts w:eastAsia="Calibri"/>
                <w:sz w:val="20"/>
                <w:szCs w:val="20"/>
                <w:lang w:val="es-MX" w:eastAsia="en-US"/>
              </w:rPr>
            </w:pPr>
            <w:r>
              <w:rPr>
                <w:rFonts w:eastAsia="Calibri"/>
                <w:sz w:val="20"/>
                <w:szCs w:val="20"/>
                <w:lang w:val="es-MX" w:eastAsia="en-US"/>
              </w:rPr>
              <w:t xml:space="preserve"> </w:t>
            </w:r>
            <w:r>
              <w:rPr>
                <w:rFonts w:eastAsia="Calibri"/>
                <w:sz w:val="20"/>
                <w:szCs w:val="20"/>
                <w:lang w:val="es-MX"/>
              </w:rPr>
              <w:t>Mejorar los mecanismos de selección de las y los beneficiarios, incorporando rango de edad y tipos de discapacidad susceptibles de recibir prioritariamente el apoyo, así incorporar un mecanismo efectivo de comprobación de la vulnerabilidad económica del solicitante.</w:t>
            </w:r>
          </w:p>
        </w:tc>
      </w:tr>
      <w:tr w:rsidR="004A69C9" w:rsidRPr="006E2DB3" w:rsidTr="009F1F73">
        <w:tc>
          <w:tcPr>
            <w:tcW w:w="2230" w:type="dxa"/>
            <w:gridSpan w:val="2"/>
          </w:tcPr>
          <w:p w:rsidR="004A69C9" w:rsidRPr="00DB5330" w:rsidRDefault="004A69C9" w:rsidP="009F1F73">
            <w:pPr>
              <w:rPr>
                <w:rFonts w:eastAsia="Calibri"/>
                <w:sz w:val="20"/>
                <w:szCs w:val="20"/>
                <w:lang w:val="es-MX" w:eastAsia="en-US"/>
              </w:rPr>
            </w:pPr>
            <w:r w:rsidRPr="00DB5330">
              <w:rPr>
                <w:rFonts w:eastAsia="Calibri"/>
                <w:sz w:val="20"/>
                <w:szCs w:val="20"/>
                <w:lang w:val="es-MX" w:eastAsia="en-US"/>
              </w:rPr>
              <w:t>VII. Referencias Documentales</w:t>
            </w:r>
          </w:p>
        </w:tc>
        <w:tc>
          <w:tcPr>
            <w:tcW w:w="7517" w:type="dxa"/>
            <w:gridSpan w:val="10"/>
          </w:tcPr>
          <w:p w:rsidR="004A69C9" w:rsidRDefault="004A69C9" w:rsidP="009F1F73">
            <w:pPr>
              <w:autoSpaceDE w:val="0"/>
              <w:autoSpaceDN w:val="0"/>
              <w:adjustRightInd w:val="0"/>
              <w:jc w:val="both"/>
              <w:rPr>
                <w:rFonts w:eastAsia="Calibri"/>
                <w:bCs/>
                <w:sz w:val="20"/>
                <w:szCs w:val="20"/>
                <w:lang w:val="es-MX" w:eastAsia="es-MX"/>
              </w:rPr>
            </w:pPr>
            <w:r>
              <w:rPr>
                <w:rFonts w:eastAsia="Calibri"/>
                <w:bCs/>
                <w:sz w:val="20"/>
                <w:szCs w:val="20"/>
                <w:lang w:val="es-MX" w:eastAsia="es-MX"/>
              </w:rPr>
              <w:t>Ley de Desarrollo Social para el Distrito Federal</w:t>
            </w:r>
          </w:p>
          <w:p w:rsidR="004A69C9" w:rsidRDefault="004A69C9" w:rsidP="009F1F73">
            <w:pPr>
              <w:autoSpaceDE w:val="0"/>
              <w:autoSpaceDN w:val="0"/>
              <w:adjustRightInd w:val="0"/>
              <w:jc w:val="both"/>
              <w:rPr>
                <w:rFonts w:eastAsia="Calibri"/>
                <w:bCs/>
                <w:sz w:val="20"/>
                <w:szCs w:val="20"/>
                <w:lang w:val="es-MX" w:eastAsia="es-MX"/>
              </w:rPr>
            </w:pPr>
            <w:r>
              <w:rPr>
                <w:rFonts w:eastAsia="Calibri"/>
                <w:bCs/>
                <w:sz w:val="20"/>
                <w:szCs w:val="20"/>
                <w:lang w:val="es-MX" w:eastAsia="es-MX"/>
              </w:rPr>
              <w:t>Ley para las Personas con Discapacidad del Distrito Federal</w:t>
            </w:r>
          </w:p>
          <w:p w:rsidR="004A69C9" w:rsidRDefault="004A69C9" w:rsidP="009F1F73">
            <w:pPr>
              <w:autoSpaceDE w:val="0"/>
              <w:autoSpaceDN w:val="0"/>
              <w:adjustRightInd w:val="0"/>
              <w:jc w:val="both"/>
              <w:rPr>
                <w:rFonts w:eastAsia="Calibri"/>
                <w:bCs/>
                <w:sz w:val="20"/>
                <w:szCs w:val="20"/>
                <w:lang w:val="es-MX" w:eastAsia="es-MX"/>
              </w:rPr>
            </w:pPr>
            <w:r>
              <w:rPr>
                <w:rFonts w:eastAsia="Calibri"/>
                <w:bCs/>
                <w:sz w:val="20"/>
                <w:szCs w:val="20"/>
                <w:lang w:val="es-MX" w:eastAsia="es-MX"/>
              </w:rPr>
              <w:t>Ley de Atención Prioritaria para las Personas con Discapacidad y en Situación de Vulnerabilidad</w:t>
            </w:r>
          </w:p>
          <w:p w:rsidR="004A69C9" w:rsidRPr="00DB5330" w:rsidRDefault="004A69C9" w:rsidP="009F1F73">
            <w:pPr>
              <w:autoSpaceDE w:val="0"/>
              <w:autoSpaceDN w:val="0"/>
              <w:adjustRightInd w:val="0"/>
              <w:jc w:val="both"/>
              <w:rPr>
                <w:rFonts w:eastAsia="Calibri"/>
                <w:sz w:val="20"/>
                <w:szCs w:val="20"/>
                <w:lang w:val="es-MX" w:eastAsia="en-US"/>
              </w:rPr>
            </w:pPr>
            <w:r>
              <w:rPr>
                <w:rFonts w:eastAsia="Calibri"/>
                <w:sz w:val="20"/>
                <w:szCs w:val="20"/>
                <w:lang w:val="es-MX" w:eastAsia="en-US"/>
              </w:rPr>
              <w:t>INEGI 2010</w:t>
            </w:r>
          </w:p>
        </w:tc>
      </w:tr>
    </w:tbl>
    <w:p w:rsidR="004A69C9" w:rsidRPr="004A69C9" w:rsidRDefault="004A69C9">
      <w:pPr>
        <w:rPr>
          <w:lang w:val="es-MX"/>
        </w:rPr>
      </w:pPr>
    </w:p>
    <w:sectPr w:rsidR="004A69C9" w:rsidRPr="004A69C9" w:rsidSect="00A515D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9C9"/>
    <w:rsid w:val="00423FF1"/>
    <w:rsid w:val="004A69C9"/>
    <w:rsid w:val="009B5304"/>
    <w:rsid w:val="00A515D8"/>
    <w:rsid w:val="00BF1AA4"/>
    <w:rsid w:val="00DD218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C9"/>
    <w:pPr>
      <w:suppressAutoHyphens/>
      <w:jc w:val="left"/>
    </w:pPr>
    <w:rPr>
      <w:rFonts w:ascii="Times New Roman" w:eastAsia="Times New Roman" w:hAnsi="Times New Roman" w:cs="Times New Roman"/>
      <w:kern w:val="1"/>
      <w:sz w:val="24"/>
      <w:szCs w:val="24"/>
      <w:lang w:val="es-ES" w:eastAsia="ar-SA"/>
    </w:rPr>
  </w:style>
  <w:style w:type="paragraph" w:styleId="Ttulo1">
    <w:name w:val="heading 1"/>
    <w:basedOn w:val="Normal"/>
    <w:next w:val="Normal"/>
    <w:link w:val="Ttulo1Car"/>
    <w:qFormat/>
    <w:rsid w:val="004A69C9"/>
    <w:pPr>
      <w:keepNext/>
      <w:suppressAutoHyphens w:val="0"/>
      <w:spacing w:before="240" w:after="60"/>
      <w:outlineLvl w:val="0"/>
    </w:pPr>
    <w:rPr>
      <w:rFonts w:ascii="Cambria" w:hAnsi="Cambria"/>
      <w:b/>
      <w:bCs/>
      <w:kern w:val="32"/>
      <w:sz w:val="32"/>
      <w:szCs w:val="32"/>
      <w:lang w:eastAsia="es-ES"/>
    </w:rPr>
  </w:style>
  <w:style w:type="paragraph" w:styleId="Ttulo2">
    <w:name w:val="heading 2"/>
    <w:basedOn w:val="Normal"/>
    <w:next w:val="Normal"/>
    <w:link w:val="Ttulo2Car"/>
    <w:uiPriority w:val="9"/>
    <w:semiHidden/>
    <w:unhideWhenUsed/>
    <w:qFormat/>
    <w:rsid w:val="004A69C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69C9"/>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uiPriority w:val="9"/>
    <w:semiHidden/>
    <w:rsid w:val="004A69C9"/>
    <w:rPr>
      <w:rFonts w:ascii="Cambria" w:eastAsia="Times New Roman" w:hAnsi="Cambria" w:cs="Times New Roman"/>
      <w:b/>
      <w:bCs/>
      <w:i/>
      <w:iCs/>
      <w:kern w:val="1"/>
      <w:sz w:val="28"/>
      <w:szCs w:val="28"/>
      <w:lang w:val="es-E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2472</Words>
  <Characters>13600</Characters>
  <Application>Microsoft Office Word</Application>
  <DocSecurity>0</DocSecurity>
  <Lines>113</Lines>
  <Paragraphs>32</Paragraphs>
  <ScaleCrop>false</ScaleCrop>
  <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dc:creator>
  <cp:lastModifiedBy>CEDA</cp:lastModifiedBy>
  <cp:revision>1</cp:revision>
  <dcterms:created xsi:type="dcterms:W3CDTF">2014-06-24T17:03:00Z</dcterms:created>
  <dcterms:modified xsi:type="dcterms:W3CDTF">2014-06-24T17:05:00Z</dcterms:modified>
</cp:coreProperties>
</file>